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23 Late Adulthood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Telomeres    </w:t>
      </w:r>
      <w:r>
        <w:t xml:space="preserve">   Hayflick limit    </w:t>
      </w:r>
      <w:r>
        <w:t xml:space="preserve">   Cellular aging    </w:t>
      </w:r>
      <w:r>
        <w:t xml:space="preserve">   Genetic clock    </w:t>
      </w:r>
      <w:r>
        <w:t xml:space="preserve">   Average life expectancy    </w:t>
      </w:r>
      <w:r>
        <w:t xml:space="preserve">   Maximum life span    </w:t>
      </w:r>
      <w:r>
        <w:t xml:space="preserve">   Calorie restriction    </w:t>
      </w:r>
      <w:r>
        <w:t xml:space="preserve">   Wear-and-tear-theory    </w:t>
      </w:r>
      <w:r>
        <w:t xml:space="preserve">   Osteoporosis    </w:t>
      </w:r>
      <w:r>
        <w:t xml:space="preserve">   Compression of morbidity    </w:t>
      </w:r>
      <w:r>
        <w:t xml:space="preserve">   Secondary aging    </w:t>
      </w:r>
      <w:r>
        <w:t xml:space="preserve">   Primary aging    </w:t>
      </w:r>
      <w:r>
        <w:t xml:space="preserve">   Universal design    </w:t>
      </w:r>
      <w:r>
        <w:t xml:space="preserve">   Oldest-old    </w:t>
      </w:r>
      <w:r>
        <w:t xml:space="preserve">   Old-old    </w:t>
      </w:r>
      <w:r>
        <w:t xml:space="preserve">   Young-old    </w:t>
      </w:r>
      <w:r>
        <w:t xml:space="preserve">   Dependency ratio    </w:t>
      </w:r>
      <w:r>
        <w:t xml:space="preserve">   Demographic shift    </w:t>
      </w:r>
      <w:r>
        <w:t xml:space="preserve">   Elderspeak    </w:t>
      </w:r>
      <w:r>
        <w:t xml:space="preserve">   Ageism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23 Late Adulthood </dc:title>
  <dcterms:created xsi:type="dcterms:W3CDTF">2021-10-11T03:25:05Z</dcterms:created>
  <dcterms:modified xsi:type="dcterms:W3CDTF">2021-10-11T03:25:05Z</dcterms:modified>
</cp:coreProperties>
</file>