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Dentistry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established through verbal or written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License to practice in a specific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that has been examined and diagnosed by the dentist and has had tx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supervision in which the dentist is physically present while the DA performs delegated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crime with a prison sentence of a year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Withdrawing a pt from tx without giving reasonable notice or providing a competent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Domestic violence by a family member(s)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Patients actions indicate consent for 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Specifies legal requirements for practicing dentistry in a particular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Latin for "let the master answer" legal doctrine that holds an employer liable for acts of the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Ability to use license from one state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thing speaks for itself"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offense resulting in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Level of care comparable with that of other dentists who are treating other patients under similar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Physical or sexual abuse, financial exploitation, emotional confinement, passive neglect, or willful deprivation of an elderly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Level supervision in which the dental auxiliary performs delegated functions without having a dentist physically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Those designated by law to report known or suspected child abuse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enacted by legislation through U.S. congress , state legislature, or local legislative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absence of neligence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functions delegated to an auxiliary requiring increased skill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that brings harm to a person or damage to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Dental assistants, Hygienists, and laboratory technicians are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 established by actions not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health insurance portability and accountability act of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Consent that involves a written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for "things done" statements made by a person present at the time of an alleged negligent act that are admissible as evidence in a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permission granted by a patient after he/she is informed about the details of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Offense that may result in 6 months to 1 year of imprisonment</w:t>
            </w:r>
          </w:p>
        </w:tc>
      </w:tr>
    </w:tbl>
    <w:p>
      <w:pPr>
        <w:pStyle w:val="WordBankLarge"/>
      </w:pPr>
      <w:r>
        <w:t xml:space="preserve">   Abandonment    </w:t>
      </w:r>
      <w:r>
        <w:t xml:space="preserve">   Written consent    </w:t>
      </w:r>
      <w:r>
        <w:t xml:space="preserve">   Direct supervision    </w:t>
      </w:r>
      <w:r>
        <w:t xml:space="preserve">   Dental auxiliary    </w:t>
      </w:r>
      <w:r>
        <w:t xml:space="preserve">   Spousal abuse    </w:t>
      </w:r>
      <w:r>
        <w:t xml:space="preserve">   Res Ipsa loquitur    </w:t>
      </w:r>
      <w:r>
        <w:t xml:space="preserve">   Due care    </w:t>
      </w:r>
      <w:r>
        <w:t xml:space="preserve">   Felony    </w:t>
      </w:r>
      <w:r>
        <w:t xml:space="preserve">   HIPAA    </w:t>
      </w:r>
      <w:r>
        <w:t xml:space="preserve">   Implied consent    </w:t>
      </w:r>
      <w:r>
        <w:t xml:space="preserve">   Implied contract    </w:t>
      </w:r>
      <w:r>
        <w:t xml:space="preserve">   Informed consent    </w:t>
      </w:r>
      <w:r>
        <w:t xml:space="preserve">   Infraction    </w:t>
      </w:r>
      <w:r>
        <w:t xml:space="preserve">   Licensure    </w:t>
      </w:r>
      <w:r>
        <w:t xml:space="preserve">   Malpractice    </w:t>
      </w:r>
      <w:r>
        <w:t xml:space="preserve">   Mandated reporters     </w:t>
      </w:r>
      <w:r>
        <w:t xml:space="preserve">   Misdemeanor    </w:t>
      </w:r>
      <w:r>
        <w:t xml:space="preserve">   Patient of record    </w:t>
      </w:r>
      <w:r>
        <w:t xml:space="preserve">   Tort law    </w:t>
      </w:r>
      <w:r>
        <w:t xml:space="preserve">   Statutory law     </w:t>
      </w:r>
      <w:r>
        <w:t xml:space="preserve">   State Dental Practice Act    </w:t>
      </w:r>
      <w:r>
        <w:t xml:space="preserve">   Standard of Care    </w:t>
      </w:r>
      <w:r>
        <w:t xml:space="preserve">   Respondeat superior    </w:t>
      </w:r>
      <w:r>
        <w:t xml:space="preserve">   Res gestae    </w:t>
      </w:r>
      <w:r>
        <w:t xml:space="preserve">   Reciprocity    </w:t>
      </w:r>
      <w:r>
        <w:t xml:space="preserve">   General supervision    </w:t>
      </w:r>
      <w:r>
        <w:t xml:space="preserve">   Expressed contract    </w:t>
      </w:r>
      <w:r>
        <w:t xml:space="preserve">   Expanded functions     </w:t>
      </w:r>
      <w:r>
        <w:t xml:space="preserve">   Elder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Dentistry and the Law</dc:title>
  <dcterms:created xsi:type="dcterms:W3CDTF">2021-10-11T03:31:08Z</dcterms:created>
  <dcterms:modified xsi:type="dcterms:W3CDTF">2021-10-11T03:31:08Z</dcterms:modified>
</cp:coreProperties>
</file>