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5 Section 5.3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a variant of Braising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heating process that does not require physical contact between the heat source and the food being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food preparation technique in which foods are cooked in hot liquids kept just below the boiling point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moist-heat cooking technique that involves cooking by submerging food in a liquid, such as water, milk, stock or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frying characterized by the use of minimal cooking oil or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cooking method that uses dry heat where hot air envelops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braised beef dish, typically made by browning a roast-sized piece of beef, then slow-cooking in or over liquid in a covered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dry-heat cooking method that uses convection to transfer heat to a food submerged in hot fat, food to be deep-fried are usually first coated in batter or breading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arrangement and overall styling of food upon bringing it to the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moist-heat cooking method uses a sautoir or other shallow cooking vessel, heat is transferred by conduction from the pan, to the liquid, to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method of cooking food that uses prolonged dry heat, normally in an oven, but also in hot ashes, or on hot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length of time it takes a cooking medium, such as fat or water, to return to the desired cooking temperature after the food is submerged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radiation is the process where heat and light waves strike and penetrate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process of letting meat rest after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type of roulade and sometimes called a braciole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item or substance used as a decoration or embellishment accompanying a prepared food dish 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classic Provençal (or more broadly, French) stew made with inexpensive beef braised in wine, vegetables, garlic, and herbes de Provence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phenomenon that food retains heat and continues to cook even after being removed from the source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liquid used for shallow poaching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kind of food made of flour or meal that has been mixed with milk or water, made into a dough or batter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refers to the technique of partially cooking foods so that they can be finished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an oil or fat is the temperature at which, under specific and defined conditions, it begins to produce a continuous bluish smoke that becomes clearly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is scalded in boiling water, removed after a brief, timed interval, and finally plunged into iced water or placed under cold running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an amount of food served for one person; serving; helping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Placing a second basket over the primary basket in deep frying in order to prevent the item being deep fried from floating to the top. Ensures even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combination-cooking method that uses both wet and dry heats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 dough that can be easily poured into a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is submerged in hot fat, most commonly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understanding how much a serving size of food is and how many calories or how much food energy a serving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involves both dry- and moist-heat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cooking by exposing food to direct radiant heat, either on a grill over live coals or below a gas burner or electric 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refers to the use of ultra-low temperatures to freeze food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cook food quickly in a minimal amount of fat over relatively high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direct transfer of heat between adjacent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form of cooking that involves dry heat applied to the surface of food, commonly from above or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culinary process that employs sodium alginate and either calcium chloride or calcium glucate lactate to shape a liquid into 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moist-heat cooking method that uses convection to transfer heat from a hot liquid to the food submerged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thin slice of fat or bacon secured to a roast of meat or poultry to prevent its drying out while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French term, meaning under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heated by a moving heat source such as hot air inside an oven that is circulated by a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process of soaking foods in a seasoned, often acidic, liquid before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substance that is formed by trapping many gas bubbles in a liquid or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cooking method that uses dry heat where hot air envelops the food</w:t>
            </w:r>
          </w:p>
        </w:tc>
      </w:tr>
    </w:tbl>
    <w:p>
      <w:pPr>
        <w:pStyle w:val="WordBankLarge"/>
      </w:pPr>
      <w:r>
        <w:t xml:space="preserve">   basket method    </w:t>
      </w:r>
      <w:r>
        <w:t xml:space="preserve">   conduction    </w:t>
      </w:r>
      <w:r>
        <w:t xml:space="preserve">   baking    </w:t>
      </w:r>
      <w:r>
        <w:t xml:space="preserve">   barding    </w:t>
      </w:r>
      <w:r>
        <w:t xml:space="preserve">   batter    </w:t>
      </w:r>
      <w:r>
        <w:t xml:space="preserve">   blanching    </w:t>
      </w:r>
      <w:r>
        <w:t xml:space="preserve">   braising    </w:t>
      </w:r>
      <w:r>
        <w:t xml:space="preserve">   breading    </w:t>
      </w:r>
      <w:r>
        <w:t xml:space="preserve">   broiling    </w:t>
      </w:r>
      <w:r>
        <w:t xml:space="preserve">   carry over cooking    </w:t>
      </w:r>
      <w:r>
        <w:t xml:space="preserve">   combo cooking    </w:t>
      </w:r>
      <w:r>
        <w:t xml:space="preserve">   convection    </w:t>
      </w:r>
      <w:r>
        <w:t xml:space="preserve">   cuisson    </w:t>
      </w:r>
      <w:r>
        <w:t xml:space="preserve">   daube    </w:t>
      </w:r>
      <w:r>
        <w:t xml:space="preserve">   deep fry    </w:t>
      </w:r>
      <w:r>
        <w:t xml:space="preserve">   double basket method    </w:t>
      </w:r>
      <w:r>
        <w:t xml:space="preserve">   estouffade    </w:t>
      </w:r>
      <w:r>
        <w:t xml:space="preserve">   flash freezing    </w:t>
      </w:r>
      <w:r>
        <w:t xml:space="preserve">   float    </w:t>
      </w:r>
      <w:r>
        <w:t xml:space="preserve">   foam    </w:t>
      </w:r>
      <w:r>
        <w:t xml:space="preserve">   garnish    </w:t>
      </w:r>
      <w:r>
        <w:t xml:space="preserve">   grilling    </w:t>
      </w:r>
      <w:r>
        <w:t xml:space="preserve">   infrared heat    </w:t>
      </w:r>
      <w:r>
        <w:t xml:space="preserve">   larding    </w:t>
      </w:r>
      <w:r>
        <w:t xml:space="preserve">   marinating    </w:t>
      </w:r>
      <w:r>
        <w:t xml:space="preserve">   overportioning    </w:t>
      </w:r>
      <w:r>
        <w:t xml:space="preserve">   paupiette    </w:t>
      </w:r>
      <w:r>
        <w:t xml:space="preserve">   pan fry    </w:t>
      </w:r>
      <w:r>
        <w:t xml:space="preserve">   par cooking    </w:t>
      </w:r>
      <w:r>
        <w:t xml:space="preserve">   plating    </w:t>
      </w:r>
      <w:r>
        <w:t xml:space="preserve">   poaching    </w:t>
      </w:r>
      <w:r>
        <w:t xml:space="preserve">   portioning    </w:t>
      </w:r>
      <w:r>
        <w:t xml:space="preserve">   pot roasting    </w:t>
      </w:r>
      <w:r>
        <w:t xml:space="preserve">   radiation    </w:t>
      </w:r>
      <w:r>
        <w:t xml:space="preserve">   recovery time    </w:t>
      </w:r>
      <w:r>
        <w:t xml:space="preserve">   resting    </w:t>
      </w:r>
      <w:r>
        <w:t xml:space="preserve">   roasting    </w:t>
      </w:r>
      <w:r>
        <w:t xml:space="preserve">   saute    </w:t>
      </w:r>
      <w:r>
        <w:t xml:space="preserve">   shallow poaching    </w:t>
      </w:r>
      <w:r>
        <w:t xml:space="preserve">   simmering    </w:t>
      </w:r>
      <w:r>
        <w:t xml:space="preserve">   smoking point    </w:t>
      </w:r>
      <w:r>
        <w:t xml:space="preserve">   sous vide    </w:t>
      </w:r>
      <w:r>
        <w:t xml:space="preserve">   spherification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Section 5.3</dc:title>
  <dcterms:created xsi:type="dcterms:W3CDTF">2021-10-11T03:30:31Z</dcterms:created>
  <dcterms:modified xsi:type="dcterms:W3CDTF">2021-10-11T03:30:31Z</dcterms:modified>
</cp:coreProperties>
</file>