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Mobility    </w:t>
      </w:r>
      <w:r>
        <w:t xml:space="preserve">   Protected    </w:t>
      </w:r>
      <w:r>
        <w:t xml:space="preserve">   Language    </w:t>
      </w:r>
      <w:r>
        <w:t xml:space="preserve">   Constitution    </w:t>
      </w:r>
      <w:r>
        <w:t xml:space="preserve">   Entrenched    </w:t>
      </w:r>
      <w:r>
        <w:t xml:space="preserve">   Equality    </w:t>
      </w:r>
      <w:r>
        <w:t xml:space="preserve">   Government    </w:t>
      </w:r>
      <w:r>
        <w:t xml:space="preserve">   Canadian    </w:t>
      </w:r>
      <w:r>
        <w:t xml:space="preserve">   Rights    </w:t>
      </w:r>
      <w:r>
        <w:t xml:space="preserve">   Freedoms    </w:t>
      </w:r>
      <w:r>
        <w:t xml:space="preserve">   Fundamental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Rights and Freedoms</dc:title>
  <dcterms:created xsi:type="dcterms:W3CDTF">2021-10-11T03:39:54Z</dcterms:created>
  <dcterms:modified xsi:type="dcterms:W3CDTF">2021-10-11T03:39:54Z</dcterms:modified>
</cp:coreProperties>
</file>