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Chateauesque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Biltmore Estate    </w:t>
      </w:r>
      <w:r>
        <w:t xml:space="preserve">   Carey Mansion    </w:t>
      </w:r>
      <w:r>
        <w:t xml:space="preserve">   Elaborate    </w:t>
      </w:r>
      <w:r>
        <w:t xml:space="preserve">   Fifteenth Century    </w:t>
      </w:r>
      <w:r>
        <w:t xml:space="preserve">   Gothic Influence    </w:t>
      </w:r>
      <w:r>
        <w:t xml:space="preserve">   Ochre Court    </w:t>
      </w:r>
      <w:r>
        <w:t xml:space="preserve">   Richard Morris Hunt    </w:t>
      </w:r>
      <w:r>
        <w:t xml:space="preserve">   Seventeenth Century    </w:t>
      </w:r>
      <w:r>
        <w:t xml:space="preserve">   Spires    </w:t>
      </w:r>
      <w:r>
        <w:t xml:space="preserve">   Steep Pitched 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Chateauesque Characteristics</dc:title>
  <dcterms:created xsi:type="dcterms:W3CDTF">2021-10-11T03:39:44Z</dcterms:created>
  <dcterms:modified xsi:type="dcterms:W3CDTF">2021-10-11T03:39:44Z</dcterms:modified>
</cp:coreProperties>
</file>