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 By:Olivia Faircloth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charge of an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which a new substance is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charge of a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reactive nonmetal family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model to display the number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118 of them and they are a pure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is the same and consistent throughout (example: lemonade)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table used to organized the 118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law stating mass cannot be created or destroyed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of a substance that can be observed during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of matter that can be observed without a change in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is not consistent throughout (example: trail mix)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two or more elements chemically combining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electrons on the outermost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charge of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building block of all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Periodic Table is 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directly from solid to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which no new substance is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protons and neutrons are located 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compound     </w:t>
      </w:r>
      <w:r>
        <w:t xml:space="preserve">   physical change     </w:t>
      </w:r>
      <w:r>
        <w:t xml:space="preserve">   chemical change     </w:t>
      </w:r>
      <w:r>
        <w:t xml:space="preserve">   homogeneous     </w:t>
      </w:r>
      <w:r>
        <w:t xml:space="preserve">   heterogeneous     </w:t>
      </w:r>
      <w:r>
        <w:t xml:space="preserve">   sublimation     </w:t>
      </w:r>
      <w:r>
        <w:t xml:space="preserve">   halogens     </w:t>
      </w:r>
      <w:r>
        <w:t xml:space="preserve">   atomic number     </w:t>
      </w:r>
      <w:r>
        <w:t xml:space="preserve">   valence electrons     </w:t>
      </w:r>
      <w:r>
        <w:t xml:space="preserve">   elements     </w:t>
      </w:r>
      <w:r>
        <w:t xml:space="preserve">   nucleus     </w:t>
      </w:r>
      <w:r>
        <w:t xml:space="preserve">   positive charge    </w:t>
      </w:r>
      <w:r>
        <w:t xml:space="preserve">   law of conservation mass    </w:t>
      </w:r>
      <w:r>
        <w:t xml:space="preserve">   chemical reaction    </w:t>
      </w:r>
      <w:r>
        <w:t xml:space="preserve">   physical property     </w:t>
      </w:r>
      <w:r>
        <w:t xml:space="preserve">   Bohr's Model    </w:t>
      </w:r>
      <w:r>
        <w:t xml:space="preserve">   Periodic Table     </w:t>
      </w:r>
      <w:r>
        <w:t xml:space="preserve">   negative charge    </w:t>
      </w:r>
      <w:r>
        <w:t xml:space="preserve">   no charge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By:Olivia Faircloth</dc:title>
  <dcterms:created xsi:type="dcterms:W3CDTF">2021-10-11T03:43:25Z</dcterms:created>
  <dcterms:modified xsi:type="dcterms:W3CDTF">2021-10-11T03:43:25Z</dcterms:modified>
</cp:coreProperties>
</file>