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Professional    </w:t>
      </w:r>
      <w:r>
        <w:t xml:space="preserve">   Paraprofessional    </w:t>
      </w:r>
      <w:r>
        <w:t xml:space="preserve">   Lifelong learning    </w:t>
      </w:r>
      <w:r>
        <w:t xml:space="preserve">   Job shadowing    </w:t>
      </w:r>
      <w:r>
        <w:t xml:space="preserve">   Frequency count    </w:t>
      </w:r>
      <w:r>
        <w:t xml:space="preserve">   Self esteem    </w:t>
      </w:r>
      <w:r>
        <w:t xml:space="preserve">   Heredity    </w:t>
      </w:r>
      <w:r>
        <w:t xml:space="preserve">   Environment    </w:t>
      </w:r>
      <w:r>
        <w:t xml:space="preserve">   Adolescence    </w:t>
      </w:r>
      <w:r>
        <w:t xml:space="preserve">   Caregivers    </w:t>
      </w:r>
      <w:r>
        <w:t xml:space="preserve">   Behaviors    </w:t>
      </w:r>
      <w:r>
        <w:t xml:space="preserve">   Child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2021-10-11T03:44:49Z</dcterms:created>
  <dcterms:modified xsi:type="dcterms:W3CDTF">2021-10-11T03:44:49Z</dcterms:modified>
</cp:coreProperties>
</file>