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Trauma Effects on Physical/Mental Health of Adults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cognitive impairment    </w:t>
      </w:r>
      <w:r>
        <w:t xml:space="preserve">   diabetes    </w:t>
      </w:r>
      <w:r>
        <w:t xml:space="preserve">   race    </w:t>
      </w:r>
      <w:r>
        <w:t xml:space="preserve">   medicines    </w:t>
      </w:r>
      <w:r>
        <w:t xml:space="preserve">   depression    </w:t>
      </w:r>
      <w:r>
        <w:t xml:space="preserve">   anxiety    </w:t>
      </w:r>
      <w:r>
        <w:t xml:space="preserve">   psychosis    </w:t>
      </w:r>
      <w:r>
        <w:t xml:space="preserve">   sexual assault    </w:t>
      </w:r>
      <w:r>
        <w:t xml:space="preserve">   sexual abuse    </w:t>
      </w:r>
      <w:r>
        <w:t xml:space="preserve">   mental abuse    </w:t>
      </w:r>
      <w:r>
        <w:t xml:space="preserve">   physical abuse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Trauma Effects on Physical/Mental Health of Adults </dc:title>
  <dcterms:created xsi:type="dcterms:W3CDTF">2021-10-11T03:45:05Z</dcterms:created>
  <dcterms:modified xsi:type="dcterms:W3CDTF">2021-10-11T03:45:05Z</dcterms:modified>
</cp:coreProperties>
</file>