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    </w:t>
      </w:r>
      <w:r>
        <w:t xml:space="preserve">   Chairman Xi    </w:t>
      </w:r>
      <w:r>
        <w:t xml:space="preserve">   Common Destiny    </w:t>
      </w:r>
      <w:r>
        <w:t xml:space="preserve">   Community of Shared Future    </w:t>
      </w:r>
      <w:r>
        <w:t xml:space="preserve">   Digital Silk Road    </w:t>
      </w:r>
      <w:r>
        <w:t xml:space="preserve">   Great Firewall    </w:t>
      </w:r>
      <w:r>
        <w:t xml:space="preserve">   Harmonious    </w:t>
      </w:r>
      <w:r>
        <w:t xml:space="preserve">   Mutually-Beneficial    </w:t>
      </w:r>
      <w:r>
        <w:t xml:space="preserve">   New Model of IR    </w:t>
      </w:r>
      <w:r>
        <w:t xml:space="preserve">   Party    </w:t>
      </w:r>
      <w:r>
        <w:t xml:space="preserve">   Win-Win    </w:t>
      </w:r>
      <w:r>
        <w:t xml:space="preserve">   Xinjiang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2021-10-11T03:47:40Z</dcterms:created>
  <dcterms:modified xsi:type="dcterms:W3CDTF">2021-10-11T03:47:40Z</dcterms:modified>
</cp:coreProperties>
</file>