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Renal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malnutrition    </w:t>
      </w:r>
      <w:r>
        <w:t xml:space="preserve">   pain    </w:t>
      </w:r>
      <w:r>
        <w:t xml:space="preserve">   confusion    </w:t>
      </w:r>
      <w:r>
        <w:t xml:space="preserve">   depression    </w:t>
      </w:r>
      <w:r>
        <w:t xml:space="preserve">   nausea    </w:t>
      </w:r>
      <w:r>
        <w:t xml:space="preserve">   phosphorus    </w:t>
      </w:r>
      <w:r>
        <w:t xml:space="preserve">   potassium    </w:t>
      </w:r>
      <w:r>
        <w:t xml:space="preserve">   sodium    </w:t>
      </w:r>
      <w:r>
        <w:t xml:space="preserve">   fluids    </w:t>
      </w:r>
      <w:r>
        <w:t xml:space="preserve">   Hemodialysis    </w:t>
      </w:r>
      <w:r>
        <w:t xml:space="preserve">   fatigue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Renal Failure</dc:title>
  <dcterms:created xsi:type="dcterms:W3CDTF">2021-10-11T04:00:01Z</dcterms:created>
  <dcterms:modified xsi:type="dcterms:W3CDTF">2021-10-11T04:00:01Z</dcterms:modified>
</cp:coreProperties>
</file>