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Class 1 Antidysrhythmic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fibrinolytic    </w:t>
      </w:r>
      <w:r>
        <w:t xml:space="preserve">   category c    </w:t>
      </w:r>
      <w:r>
        <w:t xml:space="preserve">   confusion    </w:t>
      </w:r>
      <w:r>
        <w:t xml:space="preserve">   liver or kidney    </w:t>
      </w:r>
      <w:r>
        <w:t xml:space="preserve">   atrial    </w:t>
      </w:r>
      <w:r>
        <w:t xml:space="preserve">   rapid onset    </w:t>
      </w:r>
      <w:r>
        <w:t xml:space="preserve">   class I antidysrhythmic    </w:t>
      </w:r>
      <w:r>
        <w:t xml:space="preserve">   lidocaine    </w:t>
      </w:r>
      <w:r>
        <w:t xml:space="preserve">   procainamide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1 Antidysrhythmic Medications</dc:title>
  <dcterms:created xsi:type="dcterms:W3CDTF">2021-10-11T04:07:43Z</dcterms:created>
  <dcterms:modified xsi:type="dcterms:W3CDTF">2021-10-11T04:07:43Z</dcterms:modified>
</cp:coreProperties>
</file>