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unit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HIV    </w:t>
      </w:r>
      <w:r>
        <w:t xml:space="preserve">   Toxin    </w:t>
      </w:r>
      <w:r>
        <w:t xml:space="preserve">   Lyric cycle    </w:t>
      </w:r>
      <w:r>
        <w:t xml:space="preserve">   Epidemic    </w:t>
      </w:r>
      <w:r>
        <w:t xml:space="preserve">   Antibiotic    </w:t>
      </w:r>
      <w:r>
        <w:t xml:space="preserve">   Vaccine    </w:t>
      </w:r>
      <w:r>
        <w:t xml:space="preserve">   Pathogen    </w:t>
      </w:r>
      <w:r>
        <w:t xml:space="preserve">   Disease    </w:t>
      </w:r>
      <w:r>
        <w:t xml:space="preserve">   Virus    </w:t>
      </w:r>
      <w:r>
        <w:t xml:space="preserve">   Phylogeny    </w:t>
      </w:r>
      <w:r>
        <w:t xml:space="preserve">   Binomial nomenclature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Domain    </w:t>
      </w:r>
      <w:r>
        <w:t xml:space="preserve">   Taxonomy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unit guide </dc:title>
  <dcterms:created xsi:type="dcterms:W3CDTF">2021-10-11T04:10:30Z</dcterms:created>
  <dcterms:modified xsi:type="dcterms:W3CDTF">2021-10-11T04:10:30Z</dcterms:modified>
</cp:coreProperties>
</file>