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 riders were civil rights activists who challenged racial laws in the south, they rode interstate buses into the segregated south to protest segregated bus terminals.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racial separation established by practice and custom, not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sit in movement was a wave of protest that involved more people occupying a place for protest, often to promote political, social, or economic change. These group of people would gather in a space or building, refusing to leave unless their demands were met.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prohibits discrimiation  because of race religion, national origin, and gender.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act expanded from other acts but this act prohibited discrimination concerning buying,renting house by race, religion, sex, and or color.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daughter of Mississippi sharecroppers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the practice of favoring individuals that are in groups that have been discriminated against.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1964 project to register African-American voters in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racial separation established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that was appointed by president johnson to study the causes of urban violence and to eliminate the “de facto segregation” in american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 that made it easier for African Americans to register to vote by eliminating discriminatory literacy tests and authorizing federal examiners to enroll voters denied at the local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won a federal court case that allowed him to enroll in the all-white University of Mississippi.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militant african-american political organization formed in 1966 to fight police brutality and provide services in the ghetto </w:t>
            </w:r>
          </w:p>
        </w:tc>
      </w:tr>
    </w:tbl>
    <w:p>
      <w:pPr>
        <w:pStyle w:val="WordBankLarge"/>
      </w:pPr>
      <w:r>
        <w:t xml:space="preserve">   Affirmative Action    </w:t>
      </w:r>
      <w:r>
        <w:t xml:space="preserve">   Civil Rights Act of 1968    </w:t>
      </w:r>
      <w:r>
        <w:t xml:space="preserve">   Kerner Commission    </w:t>
      </w:r>
      <w:r>
        <w:t xml:space="preserve">   Black Panthers    </w:t>
      </w:r>
      <w:r>
        <w:t xml:space="preserve">   De jure Segregation    </w:t>
      </w:r>
      <w:r>
        <w:t xml:space="preserve">   De Facto Segregation    </w:t>
      </w:r>
      <w:r>
        <w:t xml:space="preserve">   Voting Rights Act of 1965    </w:t>
      </w:r>
      <w:r>
        <w:t xml:space="preserve">   Fannie Lou Hamer    </w:t>
      </w:r>
      <w:r>
        <w:t xml:space="preserve">   Freedom Summer     </w:t>
      </w:r>
      <w:r>
        <w:t xml:space="preserve">   Civil Rights Act of 1964    </w:t>
      </w:r>
      <w:r>
        <w:t xml:space="preserve">   James Meredith    </w:t>
      </w:r>
      <w:r>
        <w:t xml:space="preserve">   Freedom Riders    </w:t>
      </w:r>
      <w:r>
        <w:t xml:space="preserve">   Sit-In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Project</dc:title>
  <dcterms:created xsi:type="dcterms:W3CDTF">2021-10-11T04:18:58Z</dcterms:created>
  <dcterms:modified xsi:type="dcterms:W3CDTF">2021-10-11T04:18:58Z</dcterms:modified>
</cp:coreProperties>
</file>