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and Food-Borne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Disease    </w:t>
      </w:r>
      <w:r>
        <w:t xml:space="preserve">   Headache    </w:t>
      </w:r>
      <w:r>
        <w:t xml:space="preserve">   Inflammation    </w:t>
      </w:r>
      <w:r>
        <w:t xml:space="preserve">   Listeria    </w:t>
      </w:r>
      <w:r>
        <w:t xml:space="preserve">   Measles    </w:t>
      </w:r>
      <w:r>
        <w:t xml:space="preserve">   Meningitis    </w:t>
      </w:r>
      <w:r>
        <w:t xml:space="preserve">   Paracetemol    </w:t>
      </w:r>
      <w:r>
        <w:t xml:space="preserve">   Pertussis    </w:t>
      </w:r>
      <w:r>
        <w:t xml:space="preserve">   Salmonella    </w:t>
      </w:r>
      <w:r>
        <w:t xml:space="preserve">   Symptoms    </w:t>
      </w:r>
      <w:r>
        <w:t xml:space="preserve">   Vaccine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Food-Borne Diseases</dc:title>
  <dcterms:created xsi:type="dcterms:W3CDTF">2021-10-11T04:25:59Z</dcterms:created>
  <dcterms:modified xsi:type="dcterms:W3CDTF">2021-10-11T04:25:59Z</dcterms:modified>
</cp:coreProperties>
</file>