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For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BGL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WNL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NBM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CVC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PWB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CXR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EToH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</w:t>
            </w:r>
          </w:p>
        </w:tc>
      </w:tr>
    </w:tbl>
    <w:p>
      <w:pPr>
        <w:pStyle w:val="WordBankLarge"/>
      </w:pPr>
      <w:r>
        <w:t xml:space="preserve">   pressure area care    </w:t>
      </w:r>
      <w:r>
        <w:t xml:space="preserve">   singlepointstick    </w:t>
      </w:r>
      <w:r>
        <w:t xml:space="preserve">   partialweightbear    </w:t>
      </w:r>
      <w:r>
        <w:t xml:space="preserve">   nilbymouth    </w:t>
      </w:r>
      <w:r>
        <w:t xml:space="preserve">   oral muscular assessment    </w:t>
      </w:r>
      <w:r>
        <w:t xml:space="preserve">   within normal limits    </w:t>
      </w:r>
      <w:r>
        <w:t xml:space="preserve">   fluid restriction    </w:t>
      </w:r>
      <w:r>
        <w:t xml:space="preserve">   central venous catheter    </w:t>
      </w:r>
      <w:r>
        <w:t xml:space="preserve">   bowels open    </w:t>
      </w:r>
      <w:r>
        <w:t xml:space="preserve">   work of breathing    </w:t>
      </w:r>
      <w:r>
        <w:t xml:space="preserve">   healthy wieght range    </w:t>
      </w:r>
      <w:r>
        <w:t xml:space="preserve">   blood glucose level    </w:t>
      </w:r>
      <w:r>
        <w:t xml:space="preserve">   over toilet frame    </w:t>
      </w:r>
      <w:r>
        <w:t xml:space="preserve">   front access    </w:t>
      </w:r>
      <w:r>
        <w:t xml:space="preserve">   handrail    </w:t>
      </w:r>
      <w:r>
        <w:t xml:space="preserve">   review    </w:t>
      </w:r>
      <w:r>
        <w:t xml:space="preserve">   discharge    </w:t>
      </w:r>
      <w:r>
        <w:t xml:space="preserve">   hypertension    </w:t>
      </w:r>
      <w:r>
        <w:t xml:space="preserve">   Alcohol    </w:t>
      </w:r>
      <w:r>
        <w:t xml:space="preserve">   chest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For All</dc:title>
  <dcterms:created xsi:type="dcterms:W3CDTF">2021-10-11T04:26:41Z</dcterms:created>
  <dcterms:modified xsi:type="dcterms:W3CDTF">2021-10-11T04:26:41Z</dcterms:modified>
</cp:coreProperties>
</file>