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Privacy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disclosure    </w:t>
      </w:r>
      <w:r>
        <w:t xml:space="preserve">   committed    </w:t>
      </w:r>
      <w:r>
        <w:t xml:space="preserve">   boundaries    </w:t>
      </w:r>
      <w:r>
        <w:t xml:space="preserve">   control    </w:t>
      </w:r>
      <w:r>
        <w:t xml:space="preserve">   theory    </w:t>
      </w:r>
      <w:r>
        <w:t xml:space="preserve">   management    </w:t>
      </w:r>
      <w:r>
        <w:t xml:space="preserve">   communication    </w:t>
      </w:r>
      <w:r>
        <w:t xml:space="preserve">   co-owner    </w:t>
      </w:r>
      <w:r>
        <w:t xml:space="preserve">   ownership    </w:t>
      </w:r>
      <w:r>
        <w:t xml:space="preserve">   privacy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Privacy Management</dc:title>
  <dcterms:created xsi:type="dcterms:W3CDTF">2021-10-11T04:26:02Z</dcterms:created>
  <dcterms:modified xsi:type="dcterms:W3CDTF">2021-10-11T04:26:02Z</dcterms:modified>
</cp:coreProperties>
</file>