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bodylanguage    </w:t>
      </w:r>
      <w:r>
        <w:t xml:space="preserve">   communication    </w:t>
      </w:r>
      <w:r>
        <w:t xml:space="preserve">   expressions    </w:t>
      </w:r>
      <w:r>
        <w:t xml:space="preserve">   facial    </w:t>
      </w:r>
      <w:r>
        <w:t xml:space="preserve">   language    </w:t>
      </w:r>
      <w:r>
        <w:t xml:space="preserve">   mannerisms    </w:t>
      </w:r>
      <w:r>
        <w:t xml:space="preserve">   NLP    </w:t>
      </w:r>
      <w:r>
        <w:t xml:space="preserve">   nonverbal    </w:t>
      </w:r>
      <w:r>
        <w:t xml:space="preserve">   oral    </w:t>
      </w:r>
      <w:r>
        <w:t xml:space="preserve">   posture    </w:t>
      </w:r>
      <w:r>
        <w:t xml:space="preserve">   verbal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2021-10-11T04:25:37Z</dcterms:created>
  <dcterms:modified xsi:type="dcterms:W3CDTF">2021-10-11T04:25:37Z</dcterms:modified>
</cp:coreProperties>
</file>