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Contemporary Issues in Law and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Debate    </w:t>
      </w:r>
      <w:r>
        <w:t xml:space="preserve">   Ethos    </w:t>
      </w:r>
      <w:r>
        <w:t xml:space="preserve">   Fallacy    </w:t>
      </w:r>
      <w:r>
        <w:t xml:space="preserve">   Heinrichs    </w:t>
      </w:r>
      <w:r>
        <w:t xml:space="preserve">   Law    </w:t>
      </w:r>
      <w:r>
        <w:t xml:space="preserve">   Logos    </w:t>
      </w:r>
      <w:r>
        <w:t xml:space="preserve">   Pathos    </w:t>
      </w:r>
      <w:r>
        <w:t xml:space="preserve">   Research    </w:t>
      </w:r>
      <w:r>
        <w:t xml:space="preserve">   Tannen    </w:t>
      </w:r>
      <w:r>
        <w:t xml:space="preserve">   URSCA    </w:t>
      </w:r>
      <w:r>
        <w:t xml:space="preserve">   Waller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Issues in Law and Society</dc:title>
  <dcterms:created xsi:type="dcterms:W3CDTF">2021-10-11T04:35:43Z</dcterms:created>
  <dcterms:modified xsi:type="dcterms:W3CDTF">2021-10-11T04:35:43Z</dcterms:modified>
</cp:coreProperties>
</file>