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Contra-indications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Allergies    </w:t>
      </w:r>
      <w:r>
        <w:t xml:space="preserve">   Abrasions    </w:t>
      </w:r>
      <w:r>
        <w:t xml:space="preserve">   Scars    </w:t>
      </w:r>
      <w:r>
        <w:t xml:space="preserve">   Bruising    </w:t>
      </w:r>
      <w:r>
        <w:t xml:space="preserve">   Stye    </w:t>
      </w:r>
      <w:r>
        <w:t xml:space="preserve">   Ringworm    </w:t>
      </w:r>
      <w:r>
        <w:t xml:space="preserve">   Impetigo    </w:t>
      </w:r>
      <w:r>
        <w:t xml:space="preserve">   Conjuctivitis    </w:t>
      </w:r>
      <w:r>
        <w:t xml:space="preserve">   Cold sore    </w:t>
      </w:r>
      <w:r>
        <w:t xml:space="preserve">   Contra-action    </w:t>
      </w:r>
      <w:r>
        <w:t xml:space="preserve">   Disorder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Contra-indications</dc:title>
  <dcterms:created xsi:type="dcterms:W3CDTF">2021-10-11T04:36:10Z</dcterms:created>
  <dcterms:modified xsi:type="dcterms:W3CDTF">2021-10-11T04:36:10Z</dcterms:modified>
</cp:coreProperties>
</file>