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Correcting the Current Account deficit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growth    </w:t>
      </w:r>
      <w:r>
        <w:t xml:space="preserve">   investment    </w:t>
      </w:r>
      <w:r>
        <w:t xml:space="preserve">   inflation    </w:t>
      </w:r>
      <w:r>
        <w:t xml:space="preserve">   contractionary    </w:t>
      </w:r>
      <w:r>
        <w:t xml:space="preserve">   expansionary    </w:t>
      </w:r>
      <w:r>
        <w:t xml:space="preserve">   fiscal    </w:t>
      </w:r>
      <w:r>
        <w:t xml:space="preserve">   monetary    </w:t>
      </w:r>
      <w:r>
        <w:t xml:space="preserve">   LRAS    </w:t>
      </w:r>
      <w:r>
        <w:t xml:space="preserve">   policies    </w:t>
      </w:r>
      <w:r>
        <w:t xml:space="preserve">   supplyside    </w:t>
      </w:r>
      <w:r>
        <w:t xml:space="preserve">   deficit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Correcting the Current Account deficit</dc:title>
  <dcterms:created xsi:type="dcterms:W3CDTF">2021-10-11T04:40:16Z</dcterms:created>
  <dcterms:modified xsi:type="dcterms:W3CDTF">2021-10-11T04:40:16Z</dcterms:modified>
</cp:coreProperties>
</file>