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Court Room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defense mechanisms    </w:t>
      </w:r>
      <w:r>
        <w:t xml:space="preserve">   source amnesia    </w:t>
      </w:r>
      <w:r>
        <w:t xml:space="preserve">   reaction formation    </w:t>
      </w:r>
      <w:r>
        <w:t xml:space="preserve">   groupthink    </w:t>
      </w:r>
      <w:r>
        <w:t xml:space="preserve">   coping    </w:t>
      </w:r>
      <w:r>
        <w:t xml:space="preserve">   repression    </w:t>
      </w:r>
      <w:r>
        <w:t xml:space="preserve">   retrieval    </w:t>
      </w:r>
      <w:r>
        <w:t xml:space="preserve">   encoding    </w:t>
      </w:r>
      <w:r>
        <w:t xml:space="preserve">   confirmation bias    </w:t>
      </w:r>
      <w:r>
        <w:t xml:space="preserve">   flashbulb memory    </w:t>
      </w:r>
      <w:r>
        <w:t xml:space="preserve">   eyewitness testimony    </w:t>
      </w:r>
      <w:r>
        <w:t xml:space="preserve">   misinformation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Room Psychology</dc:title>
  <dcterms:created xsi:type="dcterms:W3CDTF">2021-10-11T04:42:07Z</dcterms:created>
  <dcterms:modified xsi:type="dcterms:W3CDTF">2021-10-11T04:42:07Z</dcterms:modified>
</cp:coreProperties>
</file>