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Courts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crowncourt    </w:t>
      </w:r>
      <w:r>
        <w:t xml:space="preserve">   defence    </w:t>
      </w:r>
      <w:r>
        <w:t xml:space="preserve">   indictable    </w:t>
      </w:r>
      <w:r>
        <w:t xml:space="preserve">   jurisdiction    </w:t>
      </w:r>
      <w:r>
        <w:t xml:space="preserve">   magistrates    </w:t>
      </w:r>
      <w:r>
        <w:t xml:space="preserve">   modeoftrial    </w:t>
      </w:r>
      <w:r>
        <w:t xml:space="preserve">   pleabeforevenue    </w:t>
      </w:r>
      <w:r>
        <w:t xml:space="preserve">   prosecution    </w:t>
      </w:r>
      <w:r>
        <w:t xml:space="preserve">   summary    </w:t>
      </w:r>
      <w:r>
        <w:t xml:space="preserve">   triableeitherway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Courts</dc:title>
  <dcterms:created xsi:type="dcterms:W3CDTF">2021-12-06T03:32:23Z</dcterms:created>
  <dcterms:modified xsi:type="dcterms:W3CDTF">2021-12-06T03:32:23Z</dcterms:modified>
</cp:coreProperties>
</file>