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Crossword Com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r>
      <w:tr>
        <w:trPr>
          <w:trHeight w:val="5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2</w:t>
            </w:r>
          </w:p>
        </w:tc>
        <w:tc>
          <w:p/>
        </w:tc>
        <w:tc>
          <w:p/>
        </w:tc>
        <w:tc>
          <w:p/>
        </w:tc>
        <w:tc>
          <w:p/>
        </w:tc>
        <w:tc>
          <w:p/>
        </w:tc>
        <w:tc>
          <w:tcPr>
            <w:tcBorders>
              <w:top w:val="single"/>
              <w:bottom w:val="single"/>
              <w:left w:val="single"/>
              <w:right w:val="single"/>
            </w:tcBorders>
            <w:vAlign w:val="top"/>
          </w:tcPr>
          <w:p/>
        </w:tc>
        <w:tc>
          <w:p/>
        </w:tc>
        <w:tc>
          <w:p/>
        </w:tc>
        <w:tc>
          <w:p/>
        </w:tc>
        <w:tc>
          <w:p/>
        </w:tc>
      </w:tr>
      <w:tr>
        <w:trPr>
          <w:trHeight w:val="5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4</w:t>
            </w:r>
          </w:p>
        </w:tc>
        <w:tc>
          <w:p/>
        </w:tc>
        <w:tc>
          <w:tcPr>
            <w:tcBorders>
              <w:top w:val="single"/>
              <w:bottom w:val="single"/>
              <w:left w:val="single"/>
              <w:right w:val="single"/>
            </w:tcBorders>
            <w:vAlign w:val="top"/>
          </w:tcPr>
          <w:p>
            <w:pPr>
              <w:pStyle w:val="CrossgridMedium"/>
            </w:pPr>
            <w:r>
              <w:t xml:space="preserve">5</w:t>
            </w:r>
          </w:p>
        </w:tc>
        <w:tc>
          <w:p/>
        </w:tc>
        <w:tc>
          <w:tcPr>
            <w:tcBorders>
              <w:top w:val="single"/>
              <w:bottom w:val="single"/>
              <w:left w:val="single"/>
              <w:right w:val="single"/>
            </w:tcBorders>
            <w:vAlign w:val="top"/>
          </w:tcPr>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7</w:t>
            </w:r>
          </w:p>
        </w:tc>
        <w:tc>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5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13</w:t>
            </w:r>
          </w:p>
        </w:tc>
        <w:tc>
          <w:p/>
        </w:tc>
        <w:tc>
          <w:p/>
        </w:tc>
        <w:tc>
          <w:tcPr>
            <w:tcBorders>
              <w:top w:val="single"/>
              <w:bottom w:val="single"/>
              <w:left w:val="single"/>
              <w:right w:val="single"/>
            </w:tcBorders>
            <w:vAlign w:val="top"/>
          </w:tcPr>
          <w:p/>
        </w:tc>
        <w:tc>
          <w:p/>
        </w:tc>
      </w:tr>
      <w:tr>
        <w:trPr>
          <w:trHeight w:val="5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3. </w:t>
            </w:r>
            <w:r>
              <w:t xml:space="preserve">A term that's widely used to greet or to agree on something.</w:t>
            </w:r>
          </w:p>
          <w:p>
            <w:pPr>
              <w:keepLines/>
              <w:pStyle w:val="CluesMedium"/>
            </w:pPr>
            <w:r>
              <w:rPr>
                <w:b w:val="true"/>
                <w:bCs w:val="true"/>
              </w:rPr>
              <w:t xml:space="preserve">8. </w:t>
            </w:r>
            <w:r>
              <w:t xml:space="preserve">Colloquial greetings that is associated with tsotsi taal</w:t>
            </w:r>
          </w:p>
          <w:p>
            <w:pPr>
              <w:keepLines/>
              <w:pStyle w:val="CluesMedium"/>
            </w:pPr>
            <w:r>
              <w:rPr>
                <w:b w:val="true"/>
                <w:bCs w:val="true"/>
              </w:rPr>
              <w:t xml:space="preserve">9. </w:t>
            </w:r>
            <w:r>
              <w:t xml:space="preserve">Borrowed from Southern African mining pidgin (and derived from Zulu and Xhosa words meaning the same thing), and widely used to express shock or disbelief. Directly translated, it also means “never”, “not on your life”, or simply an emphatic “no”</w:t>
            </w:r>
          </w:p>
          <w:p>
            <w:pPr>
              <w:keepLines/>
              <w:pStyle w:val="CluesMedium"/>
            </w:pPr>
            <w:r>
              <w:rPr>
                <w:b w:val="true"/>
                <w:bCs w:val="true"/>
              </w:rPr>
              <w:t xml:space="preserve">10. </w:t>
            </w:r>
            <w:r>
              <w:t xml:space="preserve">A word used to refer to a place or one's home</w:t>
            </w:r>
          </w:p>
          <w:p>
            <w:pPr>
              <w:keepLines/>
              <w:pStyle w:val="CluesMedium"/>
            </w:pPr>
            <w:r>
              <w:rPr>
                <w:b w:val="true"/>
                <w:bCs w:val="true"/>
              </w:rPr>
              <w:t xml:space="preserve">11. </w:t>
            </w:r>
            <w:r>
              <w:t xml:space="preserve">A word describing something nice, good, great, cool or tasty.</w:t>
            </w:r>
          </w:p>
          <w:p>
            <w:pPr>
              <w:keepLines/>
              <w:pStyle w:val="CluesMedium"/>
            </w:pPr>
            <w:r>
              <w:rPr>
                <w:b w:val="true"/>
                <w:bCs w:val="true"/>
              </w:rPr>
              <w:t xml:space="preserve">14. </w:t>
            </w:r>
            <w:r>
              <w:t xml:space="preserve">A worn down beat up car</w:t>
            </w:r>
          </w:p>
        </w:tc>
        <w:tc>
          <w:p>
            <w:pPr>
              <w:pStyle w:val="CluesMedium"/>
            </w:pPr>
            <w:r>
              <w:rPr>
                <w:b w:val="true"/>
                <w:bCs w:val="true"/>
              </w:rPr>
              <w:t xml:space="preserve">Down</w:t>
            </w:r>
          </w:p>
          <w:p>
            <w:pPr>
              <w:keepLines/>
              <w:pStyle w:val="CluesMedium"/>
            </w:pPr>
            <w:r>
              <w:rPr>
                <w:b w:val="true"/>
                <w:bCs w:val="true"/>
              </w:rPr>
              <w:t xml:space="preserve">1. </w:t>
            </w:r>
            <w:r>
              <w:t xml:space="preserve">a word that is used to describe the Canadian Beer, Carling Black Label. This is used across the board</w:t>
            </w:r>
          </w:p>
          <w:p>
            <w:pPr>
              <w:keepLines/>
              <w:pStyle w:val="CluesMedium"/>
            </w:pPr>
            <w:r>
              <w:rPr>
                <w:b w:val="true"/>
                <w:bCs w:val="true"/>
              </w:rPr>
              <w:t xml:space="preserve">2. </w:t>
            </w:r>
            <w:r>
              <w:t xml:space="preserve">Food taken on long trips</w:t>
            </w:r>
          </w:p>
          <w:p>
            <w:pPr>
              <w:keepLines/>
              <w:pStyle w:val="CluesMedium"/>
            </w:pPr>
            <w:r>
              <w:rPr>
                <w:b w:val="true"/>
                <w:bCs w:val="true"/>
              </w:rPr>
              <w:t xml:space="preserve">4. </w:t>
            </w:r>
            <w:r>
              <w:t xml:space="preserve">a widely used noun and verb for an outdoor ‘barbecue’ where meat is cooked over a fire or coals.</w:t>
            </w:r>
          </w:p>
          <w:p>
            <w:pPr>
              <w:keepLines/>
              <w:pStyle w:val="CluesMedium"/>
            </w:pPr>
            <w:r>
              <w:rPr>
                <w:b w:val="true"/>
                <w:bCs w:val="true"/>
              </w:rPr>
              <w:t xml:space="preserve">5. </w:t>
            </w:r>
            <w:r>
              <w:t xml:space="preserve">Colloquial term that is used across the board to say goodbye and/or conclude a conversion.</w:t>
            </w:r>
          </w:p>
          <w:p>
            <w:pPr>
              <w:keepLines/>
              <w:pStyle w:val="CluesMedium"/>
            </w:pPr>
            <w:r>
              <w:rPr>
                <w:b w:val="true"/>
                <w:bCs w:val="true"/>
              </w:rPr>
              <w:t xml:space="preserve">6. </w:t>
            </w:r>
            <w:r>
              <w:t xml:space="preserve">an expression that can be used to describe shock, it can be used in moments of amusement and bemusement.</w:t>
            </w:r>
          </w:p>
          <w:p>
            <w:pPr>
              <w:keepLines/>
              <w:pStyle w:val="CluesMedium"/>
            </w:pPr>
            <w:r>
              <w:rPr>
                <w:b w:val="true"/>
                <w:bCs w:val="true"/>
              </w:rPr>
              <w:t xml:space="preserve">7. </w:t>
            </w:r>
            <w:r>
              <w:t xml:space="preserve">When a couple lives together but they are not married.</w:t>
            </w:r>
          </w:p>
          <w:p>
            <w:pPr>
              <w:keepLines/>
              <w:pStyle w:val="CluesMedium"/>
            </w:pPr>
            <w:r>
              <w:rPr>
                <w:b w:val="true"/>
                <w:bCs w:val="true"/>
              </w:rPr>
              <w:t xml:space="preserve">12. </w:t>
            </w:r>
            <w:r>
              <w:t xml:space="preserve">An expression of surprise or annoyance .</w:t>
            </w:r>
          </w:p>
          <w:p>
            <w:pPr>
              <w:keepLines/>
              <w:pStyle w:val="CluesMedium"/>
            </w:pPr>
            <w:r>
              <w:rPr>
                <w:b w:val="true"/>
                <w:bCs w:val="true"/>
              </w:rPr>
              <w:t xml:space="preserve">13. </w:t>
            </w:r>
            <w:r>
              <w:t xml:space="preserve">left is derived from everyday South African ‘taxi lingo’. An instruction given to the driver to drop you off. Or a short local holiday break.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 Com</dc:title>
  <dcterms:created xsi:type="dcterms:W3CDTF">2021-11-04T03:43:12Z</dcterms:created>
  <dcterms:modified xsi:type="dcterms:W3CDTF">2021-11-04T03:43:12Z</dcterms:modified>
</cp:coreProperties>
</file>