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&amp; Health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Cultural understanding that provides a strong bridge to identify the overall needs of the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Assuming that all people of one culture or race have the same personal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set of distinct characteristics such as skin color that are genetically &amp; biologically transmitted.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strategy used for making written and oral information easier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Word that describes racial prejudice.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organization that gives every person the right to  refuse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Prejudice is a successful approach to human care?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actual time that you deliver cultural competent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Conflict that is based on ethnocentric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Pain language , Clear and Simple , Cultural competency.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Similar to ethnocentrism , occurs when one person imposes the rules of his or her culture on another person.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Awareness and acceptance of cultural 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patient skills are needed for health literacy?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degree to which individuals have the capacity to obtain, process, and understanding basic health information and services needed to make health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greatest barrier to cultural competency.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crucial aspect ofholistic care and doesn't exist without an understanding of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subgroup of health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individual refuses to recognize the cultural needs of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Barack Obama signed this into law on March 23, 2010.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Federally funded children's health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Patients with limited health literacy have difficulty knowing the connection between 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Emotional shock experienced by being immersed in a different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specific employee behaviors are managed.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wins in a power struggle?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Patients w/limited health literacy have difficulties locating providers and services, and filling out forms?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of individuals who are respectful and responsive to individual cultural health beliefs , practices, preferred languages and communication needs of patients in multiple health- care settings.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way of life that involves unique characteristics of human beings, wherein they share a pattern of learned behaviors such as customs and moral conduct.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Health literacy tends to vary generation.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descriptors are used to define cultural competence?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Often healthcare providers use words that patients don't understand. (True or False)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RACISM    </w:t>
      </w:r>
      <w:r>
        <w:t xml:space="preserve">   CULTURAL CONFLICT    </w:t>
      </w:r>
      <w:r>
        <w:t xml:space="preserve">   STEREOTYPING    </w:t>
      </w:r>
      <w:r>
        <w:t xml:space="preserve">   CULTURAL COMPETENCE    </w:t>
      </w:r>
      <w:r>
        <w:t xml:space="preserve">   INCLUSION    </w:t>
      </w:r>
      <w:r>
        <w:t xml:space="preserve">   ETHNOCENTRISM    </w:t>
      </w:r>
      <w:r>
        <w:t xml:space="preserve">   CULTURAL SHOCK    </w:t>
      </w:r>
      <w:r>
        <w:t xml:space="preserve">   NO ONE    </w:t>
      </w:r>
      <w:r>
        <w:t xml:space="preserve">   CLAS    </w:t>
      </w:r>
      <w:r>
        <w:t xml:space="preserve">   Patient Care Partnership    </w:t>
      </w:r>
      <w:r>
        <w:t xml:space="preserve">   CHIP    </w:t>
      </w:r>
      <w:r>
        <w:t xml:space="preserve">   PAIN LANGUAGE    </w:t>
      </w:r>
      <w:r>
        <w:t xml:space="preserve">   HEALTH LITERACY    </w:t>
      </w:r>
      <w:r>
        <w:t xml:space="preserve">   FIVE    </w:t>
      </w:r>
      <w:r>
        <w:t xml:space="preserve">   HEALTH LITERACY INITIATIVES    </w:t>
      </w:r>
      <w:r>
        <w:t xml:space="preserve">   AFFORDABLE CARE ACT    </w:t>
      </w:r>
      <w:r>
        <w:t xml:space="preserve">   EIGHT    </w:t>
      </w:r>
      <w:r>
        <w:t xml:space="preserve">   DIGNITY    </w:t>
      </w:r>
      <w:r>
        <w:t xml:space="preserve">   COMMUNICATION    </w:t>
      </w:r>
      <w:r>
        <w:t xml:space="preserve">   CULTURAL ENCOUNTER    </w:t>
      </w:r>
      <w:r>
        <w:t xml:space="preserve">   CULTURAL BLINDNESS    </w:t>
      </w:r>
      <w:r>
        <w:t xml:space="preserve">   CULTURAL IMPOSITION    </w:t>
      </w:r>
      <w:r>
        <w:t xml:space="preserve">   NURSING    </w:t>
      </w:r>
      <w:r>
        <w:t xml:space="preserve">   RACE    </w:t>
      </w:r>
      <w:r>
        <w:t xml:space="preserve">   TRUE    </w:t>
      </w:r>
      <w:r>
        <w:t xml:space="preserve">   TRUE    </w:t>
      </w:r>
      <w:r>
        <w:t xml:space="preserve">   RISKY BEHAVIORS    </w:t>
      </w:r>
      <w:r>
        <w:t xml:space="preserve">   FALSE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&amp; Health Literacy</dc:title>
  <dcterms:created xsi:type="dcterms:W3CDTF">2021-10-11T05:02:55Z</dcterms:created>
  <dcterms:modified xsi:type="dcterms:W3CDTF">2021-10-11T05:02:55Z</dcterms:modified>
</cp:coreProperties>
</file>