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psychopathology    </w:t>
      </w:r>
      <w:r>
        <w:t xml:space="preserve">   concentration    </w:t>
      </w:r>
      <w:r>
        <w:t xml:space="preserve">   clinical    </w:t>
      </w:r>
      <w:r>
        <w:t xml:space="preserve">   insomnia    </w:t>
      </w:r>
      <w:r>
        <w:t xml:space="preserve">   eating problem    </w:t>
      </w:r>
      <w:r>
        <w:t xml:space="preserve">   aggression    </w:t>
      </w:r>
      <w:r>
        <w:t xml:space="preserve">   self-harm    </w:t>
      </w:r>
      <w:r>
        <w:t xml:space="preserve">   behaviour    </w:t>
      </w:r>
      <w:r>
        <w:t xml:space="preserve">   disorder    </w:t>
      </w:r>
      <w:r>
        <w:t xml:space="preserve">   cognitive    </w:t>
      </w:r>
      <w:r>
        <w:t xml:space="preserve">   emotion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2021-10-11T05:19:28Z</dcterms:created>
  <dcterms:modified xsi:type="dcterms:W3CDTF">2021-10-11T05:19:28Z</dcterms:modified>
</cp:coreProperties>
</file>