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DVT Risk Factors and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Notify Provider    </w:t>
      </w:r>
      <w:r>
        <w:t xml:space="preserve">   Lack of Mobility    </w:t>
      </w:r>
      <w:r>
        <w:t xml:space="preserve">   Redness    </w:t>
      </w:r>
      <w:r>
        <w:t xml:space="preserve">   Skin Warmth    </w:t>
      </w:r>
      <w:r>
        <w:t xml:space="preserve">   Edema    </w:t>
      </w:r>
      <w:r>
        <w:t xml:space="preserve">   Tenderness    </w:t>
      </w:r>
      <w:r>
        <w:t xml:space="preserve">   Limb Pain    </w:t>
      </w:r>
      <w:r>
        <w:t xml:space="preserve">   Old Age    </w:t>
      </w:r>
      <w:r>
        <w:t xml:space="preserve">   Surgery    </w:t>
      </w:r>
      <w:r>
        <w:t xml:space="preserve">   Pulmonary Embolism    </w:t>
      </w:r>
      <w:r>
        <w:t xml:space="preserve">   Clot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DVT Risk Factors and Signs</dc:title>
  <dcterms:created xsi:type="dcterms:W3CDTF">2021-10-11T05:45:26Z</dcterms:created>
  <dcterms:modified xsi:type="dcterms:W3CDTF">2021-10-11T05:45:26Z</dcterms:modified>
</cp:coreProperties>
</file>