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Wet op Gelyke Indiensneming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diversiteit    </w:t>
      </w:r>
      <w:r>
        <w:t xml:space="preserve">   billikheid    </w:t>
      </w:r>
      <w:r>
        <w:t xml:space="preserve">   aangewese groepe    </w:t>
      </w:r>
      <w:r>
        <w:t xml:space="preserve">   Arbeidshof    </w:t>
      </w:r>
      <w:r>
        <w:t xml:space="preserve">   beleide    </w:t>
      </w:r>
      <w:r>
        <w:t xml:space="preserve">   boete    </w:t>
      </w:r>
      <w:r>
        <w:t xml:space="preserve">   diensgelykheid    </w:t>
      </w:r>
      <w:r>
        <w:t xml:space="preserve">   gelyke geleenthede    </w:t>
      </w:r>
      <w:r>
        <w:t xml:space="preserve">   indiensnemingsbeleide    </w:t>
      </w:r>
      <w:r>
        <w:t xml:space="preserve">   onregverdigheid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Wet op Gelyke Indiensneming </dc:title>
  <dcterms:created xsi:type="dcterms:W3CDTF">2021-10-11T05:25:44Z</dcterms:created>
  <dcterms:modified xsi:type="dcterms:W3CDTF">2021-10-11T05:25:44Z</dcterms:modified>
</cp:coreProperties>
</file>