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 and Osmosis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Concentration Gradient    </w:t>
      </w:r>
      <w:r>
        <w:t xml:space="preserve">   INDICATOR    </w:t>
      </w:r>
      <w:r>
        <w:t xml:space="preserve">   SOLUTE    </w:t>
      </w:r>
      <w:r>
        <w:t xml:space="preserve">   SELECTIVELY PERMEABLE    </w:t>
      </w:r>
      <w:r>
        <w:t xml:space="preserve">   ISOTONIC    </w:t>
      </w:r>
      <w:r>
        <w:t xml:space="preserve">   HYPOTONIC    </w:t>
      </w:r>
      <w:r>
        <w:t xml:space="preserve">   HYPERTONIC    </w:t>
      </w:r>
      <w:r>
        <w:t xml:space="preserve">   SOLUTION    </w:t>
      </w:r>
      <w:r>
        <w:t xml:space="preserve">   SOLVENT    </w:t>
      </w:r>
      <w:r>
        <w:t xml:space="preserve">   OSMOSIS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and Osmosis </dc:title>
  <dcterms:created xsi:type="dcterms:W3CDTF">2021-10-11T05:26:28Z</dcterms:created>
  <dcterms:modified xsi:type="dcterms:W3CDTF">2021-10-11T05:26:28Z</dcterms:modified>
</cp:coreProperties>
</file>