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Discharge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 to a patient going to a SNF, the OBRA laws require that a ___________ form is sent to the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____________ illness or injury acutely impairs one or more vital organ systems such that there is a high probability of imminent or life threatening deterioration in the patient's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physician must document a ____ __ ____ certification in order for a patient to receive home health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Medicare bills Part B for observation level patients, which is their ______________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MIM is given to people for this type of hospitalization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Medicare uses these guidelines to determine if a patient is appropriate for observation, inpatient, or critical levels of care: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may need IV antibiotics when they discharge home.  A discharge planner would call a company that offers _________________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patient requires service from a SNF, Home Health agency, DME, etc, they are required to be offered ____________ before making their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Approximately one hour or more prior to leaving for a SNF, we should fax the _________ orders and summary.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MOON is given to people for this type of hospitalization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Only patients with a form of ___________________ are required to receive the MIM or MOON.  Patients with commercial insurance as a primary payor do not require these notices.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Generally, a person will need a ________________ _______________ evaluation before determining if they're eligible for SNF post-hospital.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CMS stands for:  Centers for Medicare and _________________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MIM explains to patients their rights on how to ______ their discharge if they don't agree with the physician's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may require this level of care if they have a skilled need post-hospitalization to be performed by a RN, PT, OT, or ST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patient should be provided an ______ _____ ________, which details where their next appointments are and what medications they should take post-hospitalization.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care is a level of health care in which a patient is treated for a brief but severe episode of illness, for conditions that are the result of disease or trauma, and during recovery from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patient may require discharge to this level of care when family can no longer care for them in home.  Medicare will not cover this level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physician must also certify the patient's _________________________ status in order for a home health face to face to be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qualify for SNF through Medicare, a patient most be hospitalized at the inpatient level for a minimum of ______ 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agency offers RN, PT, OT, ST and MSW available in a patient's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may be eligible for this service in their home if a physician certifies that their disease process, if it progresses naturally, will result in the patient's demise in six months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Medicare bills Part A for inpatient level of care patients, which is their _____________ benefit.</w:t>
            </w:r>
          </w:p>
        </w:tc>
      </w:tr>
    </w:tbl>
    <w:p>
      <w:pPr>
        <w:pStyle w:val="WordBankLarge"/>
      </w:pPr>
      <w:r>
        <w:t xml:space="preserve">   Medicare    </w:t>
      </w:r>
      <w:r>
        <w:t xml:space="preserve">   Observation    </w:t>
      </w:r>
      <w:r>
        <w:t xml:space="preserve">   Inpatient    </w:t>
      </w:r>
      <w:r>
        <w:t xml:space="preserve">   Acute    </w:t>
      </w:r>
      <w:r>
        <w:t xml:space="preserve">   critical    </w:t>
      </w:r>
      <w:r>
        <w:t xml:space="preserve">   Long Term Care    </w:t>
      </w:r>
      <w:r>
        <w:t xml:space="preserve">   Skilled Nursing Facility    </w:t>
      </w:r>
      <w:r>
        <w:t xml:space="preserve">   Three    </w:t>
      </w:r>
      <w:r>
        <w:t xml:space="preserve">   Infusion    </w:t>
      </w:r>
      <w:r>
        <w:t xml:space="preserve">   Home Health    </w:t>
      </w:r>
      <w:r>
        <w:t xml:space="preserve">   Hospice    </w:t>
      </w:r>
      <w:r>
        <w:t xml:space="preserve">   face to face    </w:t>
      </w:r>
      <w:r>
        <w:t xml:space="preserve">   homebound    </w:t>
      </w:r>
      <w:r>
        <w:t xml:space="preserve">   PASRR    </w:t>
      </w:r>
      <w:r>
        <w:t xml:space="preserve">   Interqual    </w:t>
      </w:r>
      <w:r>
        <w:t xml:space="preserve">   outpatient    </w:t>
      </w:r>
      <w:r>
        <w:t xml:space="preserve">   hospital    </w:t>
      </w:r>
      <w:r>
        <w:t xml:space="preserve">   Physical Therapy    </w:t>
      </w:r>
      <w:r>
        <w:t xml:space="preserve">   choice    </w:t>
      </w:r>
      <w:r>
        <w:t xml:space="preserve">   Medicaid    </w:t>
      </w:r>
      <w:r>
        <w:t xml:space="preserve">   appeal    </w:t>
      </w:r>
      <w:r>
        <w:t xml:space="preserve">   discharge    </w:t>
      </w:r>
      <w:r>
        <w:t xml:space="preserve">   after visit 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Planning</dc:title>
  <dcterms:created xsi:type="dcterms:W3CDTF">2021-10-11T05:29:46Z</dcterms:created>
  <dcterms:modified xsi:type="dcterms:W3CDTF">2021-10-11T05:29:46Z</dcterms:modified>
</cp:coreProperties>
</file>