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Drinking and Driving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ALCOHOL    </w:t>
      </w:r>
      <w:r>
        <w:t xml:space="preserve">   BLOOD ALCOHOL CONTENT    </w:t>
      </w:r>
      <w:r>
        <w:t xml:space="preserve">   DRUNK DRIVING    </w:t>
      </w:r>
      <w:r>
        <w:t xml:space="preserve">   FEDERAL LAW    </w:t>
      </w:r>
      <w:r>
        <w:t xml:space="preserve">   IMPAIRED DRIVING    </w:t>
      </w:r>
      <w:r>
        <w:t xml:space="preserve">   MADD CANADA    </w:t>
      </w:r>
      <w:r>
        <w:t xml:space="preserve">   PREVENTION    </w:t>
      </w:r>
      <w:r>
        <w:t xml:space="preserve">   PROVINCIAL LAW    </w:t>
      </w:r>
      <w:r>
        <w:t xml:space="preserve">   RESPONSIBLE DRIVING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and Driving Prevention </dc:title>
  <dcterms:created xsi:type="dcterms:W3CDTF">2021-10-11T05:43:06Z</dcterms:created>
  <dcterms:modified xsi:type="dcterms:W3CDTF">2021-10-11T05:43:06Z</dcterms:modified>
</cp:coreProperties>
</file>