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acting on the nervous system.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cholinergic transmission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in the nerve terminals along with the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narcotic analgesic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adrenergic receptor is situated in the brain and certain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........ has an affinity for mu and kappa receptors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Phenytoin can be classified as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Clinical use of Phenytoin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Decreases impulse transmission is an action of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 and ........ receptors are involved with analgesia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receptors may be involved with affective behavioural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Narcotic analgesics are also called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Antagonistic effect of serotonin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Agonistic effect of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Example of a trade name for valproic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Contain vast numbers of GABA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nervous system is subdivided into the somatic nervous system and .......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...... and epinephrine are responsible for adrenergic 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Drug classification of diazepam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Agonistic effect of endorphin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Situated at ganglia of both the sympathetic and parasympathetic fibres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Receptors in smooth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 the storage of serotonin, dopamine and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 nonsteroidal anti-inflammatory drug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produces the so-called fight or flight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drugs mediate the parasympathetic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mediators of the sympathetic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Norephinephrine and ....... are released in the circulation and carried to all parts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parasympathetic system supports e.g.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Tegretol is an example of a ......................... name for carbamazepine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widely distributed  throughout the brain and produces inhibitory influences on target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Example of an anxiolytic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Drug classification of aspirin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Clinical uses of carbamazepine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.............. is indicated to reverse respiratory depression induced by opioids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adrenergic receptor are situated in the heart</w:t>
            </w:r>
          </w:p>
        </w:tc>
      </w:tr>
    </w:tbl>
    <w:p>
      <w:pPr>
        <w:pStyle w:val="WordBankLarge"/>
      </w:pPr>
      <w:r>
        <w:t xml:space="preserve">   Vasodilatation    </w:t>
      </w:r>
      <w:r>
        <w:t xml:space="preserve">   Nicotinic    </w:t>
      </w:r>
      <w:r>
        <w:t xml:space="preserve">   Acetylcholine    </w:t>
      </w:r>
      <w:r>
        <w:t xml:space="preserve">   Analgesia     </w:t>
      </w:r>
      <w:r>
        <w:t xml:space="preserve">   Serotonin     </w:t>
      </w:r>
      <w:r>
        <w:t xml:space="preserve">   Autonomic     </w:t>
      </w:r>
      <w:r>
        <w:t xml:space="preserve">   Parasympathomimetic     </w:t>
      </w:r>
      <w:r>
        <w:t xml:space="preserve">   Muscarinic     </w:t>
      </w:r>
      <w:r>
        <w:t xml:space="preserve">   Norepinephrine     </w:t>
      </w:r>
      <w:r>
        <w:t xml:space="preserve">   Epinephrine     </w:t>
      </w:r>
      <w:r>
        <w:t xml:space="preserve">   Adrenaline     </w:t>
      </w:r>
      <w:r>
        <w:t xml:space="preserve">   Reserpine     </w:t>
      </w:r>
      <w:r>
        <w:t xml:space="preserve">   Cerebellum     </w:t>
      </w:r>
      <w:r>
        <w:t xml:space="preserve">   Anxiety     </w:t>
      </w:r>
      <w:r>
        <w:t xml:space="preserve">   Resting     </w:t>
      </w:r>
      <w:r>
        <w:t xml:space="preserve">   Dopaminergic     </w:t>
      </w:r>
      <w:r>
        <w:t xml:space="preserve">   Beta1    </w:t>
      </w:r>
      <w:r>
        <w:t xml:space="preserve">   Sympathetic     </w:t>
      </w:r>
      <w:r>
        <w:t xml:space="preserve">   Gaba     </w:t>
      </w:r>
      <w:r>
        <w:t xml:space="preserve">   Epilepsy     </w:t>
      </w:r>
      <w:r>
        <w:t xml:space="preserve">   Opioids     </w:t>
      </w:r>
      <w:r>
        <w:t xml:space="preserve">   Kappa     </w:t>
      </w:r>
      <w:r>
        <w:t xml:space="preserve">   Delta     </w:t>
      </w:r>
      <w:r>
        <w:t xml:space="preserve">   Morphine     </w:t>
      </w:r>
      <w:r>
        <w:t xml:space="preserve">   Naloxone     </w:t>
      </w:r>
      <w:r>
        <w:t xml:space="preserve">   Salicylates    </w:t>
      </w:r>
      <w:r>
        <w:t xml:space="preserve">   Ibuprofen     </w:t>
      </w:r>
      <w:r>
        <w:t xml:space="preserve">   Benzodiazepine     </w:t>
      </w:r>
      <w:r>
        <w:t xml:space="preserve">   Pethidine     </w:t>
      </w:r>
      <w:r>
        <w:t xml:space="preserve">   Phenobarbital     </w:t>
      </w:r>
      <w:r>
        <w:t xml:space="preserve">   Seizures     </w:t>
      </w:r>
      <w:r>
        <w:t xml:space="preserve">   Pax     </w:t>
      </w:r>
      <w:r>
        <w:t xml:space="preserve">   Trade     </w:t>
      </w:r>
      <w:r>
        <w:t xml:space="preserve">   Epilim     </w:t>
      </w:r>
      <w:r>
        <w:t xml:space="preserve">   Hydantoin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acting on the nervous system. </dc:title>
  <dcterms:created xsi:type="dcterms:W3CDTF">2021-10-11T05:44:52Z</dcterms:created>
  <dcterms:modified xsi:type="dcterms:W3CDTF">2021-10-11T05:44:52Z</dcterms:modified>
</cp:coreProperties>
</file>