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reward    </w:t>
      </w:r>
      <w:r>
        <w:t xml:space="preserve">   opioid    </w:t>
      </w:r>
      <w:r>
        <w:t xml:space="preserve">   hallucinogen    </w:t>
      </w:r>
      <w:r>
        <w:t xml:space="preserve">   stimulant    </w:t>
      </w:r>
      <w:r>
        <w:t xml:space="preserve">   depressant    </w:t>
      </w:r>
      <w:r>
        <w:t xml:space="preserve">   receptor    </w:t>
      </w:r>
      <w:r>
        <w:t xml:space="preserve">   norepinephrine    </w:t>
      </w:r>
      <w:r>
        <w:t xml:space="preserve">   serotonin    </w:t>
      </w:r>
      <w:r>
        <w:t xml:space="preserve">   dopamine    </w:t>
      </w:r>
      <w:r>
        <w:t xml:space="preserve">   limbic system    </w:t>
      </w:r>
      <w:r>
        <w:t xml:space="preserve">   transporter    </w:t>
      </w:r>
      <w:r>
        <w:t xml:space="preserve">   neurotransmitter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the Brain</dc:title>
  <dcterms:created xsi:type="dcterms:W3CDTF">2021-10-11T05:43:51Z</dcterms:created>
  <dcterms:modified xsi:type="dcterms:W3CDTF">2021-10-11T05:43:51Z</dcterms:modified>
</cp:coreProperties>
</file>