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Dutch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flag    </w:t>
      </w:r>
      <w:r>
        <w:t xml:space="preserve">   resturant    </w:t>
      </w:r>
      <w:r>
        <w:t xml:space="preserve">   windmills    </w:t>
      </w:r>
      <w:r>
        <w:t xml:space="preserve">   clogs    </w:t>
      </w:r>
      <w:r>
        <w:t xml:space="preserve">   Holland    </w:t>
      </w:r>
      <w:r>
        <w:t xml:space="preserve">   Zeeland    </w:t>
      </w:r>
      <w:r>
        <w:t xml:space="preserve">   edam    </w:t>
      </w:r>
      <w:r>
        <w:t xml:space="preserve">   gouda    </w:t>
      </w:r>
      <w:r>
        <w:t xml:space="preserve">   cheese    </w:t>
      </w:r>
      <w:r>
        <w:t xml:space="preserve">   cycling    </w:t>
      </w:r>
      <w:r>
        <w:t xml:space="preserve">   croquettes    </w:t>
      </w:r>
      <w:r>
        <w:t xml:space="preserve">   Netherlands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Dutch migration</dc:title>
  <dcterms:created xsi:type="dcterms:W3CDTF">2021-10-12T14:11:17Z</dcterms:created>
  <dcterms:modified xsi:type="dcterms:W3CDTF">2021-10-12T14:11:17Z</dcterms:modified>
</cp:coreProperties>
</file>