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EDUCATIONAL STANDARDS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evaluations    </w:t>
      </w:r>
      <w:r>
        <w:t xml:space="preserve">   teacher    </w:t>
      </w:r>
      <w:r>
        <w:t xml:space="preserve">   attainment    </w:t>
      </w:r>
      <w:r>
        <w:t xml:space="preserve">   levels    </w:t>
      </w:r>
      <w:r>
        <w:t xml:space="preserve">   responsible    </w:t>
      </w:r>
      <w:r>
        <w:t xml:space="preserve">   state    </w:t>
      </w:r>
      <w:r>
        <w:t xml:space="preserve">   state department    </w:t>
      </w:r>
      <w:r>
        <w:t xml:space="preserve">   standards    </w:t>
      </w:r>
      <w:r>
        <w:t xml:space="preserve">   national    </w:t>
      </w:r>
      <w:r>
        <w:t xml:space="preserve">   mindset    </w:t>
      </w:r>
      <w:r>
        <w:t xml:space="preserve">   goals    </w:t>
      </w:r>
      <w:r>
        <w:t xml:space="preserve">   educational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STANDARDS</dc:title>
  <dcterms:created xsi:type="dcterms:W3CDTF">2021-10-11T05:59:35Z</dcterms:created>
  <dcterms:modified xsi:type="dcterms:W3CDTF">2021-10-11T05:59:35Z</dcterms:modified>
</cp:coreProperties>
</file>