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its subject does not perform the action of the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direct opposite of upper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express a particular emotion or sentiment on the part of the speaker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Asserts that one thing is something that it literally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commonly used expression whose meaning does not relate to the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word that has the opposite meaning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is pronounced the same as another word with a different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Related to a noun to modify or describe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five letters A E I O and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Refers to someone else not the writer or a group including 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identify any of a class of people, places,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Refers to the speaker himself or a group that includes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Is a letter or a group of letters added to the end of a word to change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 A prefix or a suffix (or both) can be added to alter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Sits before a main verb to help express the main verb's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 part of speech that connects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Refers to the speaker's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One of the large alphabetic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When the subject performs the verb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Describes a past event or a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Exaggeration or extravagant statement used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the use of words in an unusual or imaginative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category to which a word is assigned in accordance with its syntactic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figure language which is the use of words in an unusual or imaginative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root of a word to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Has one independent clause and at least one dependent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expression in which the words are not used in their literal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punctuation mark placed at the end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that modifies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Denotes a quantity greater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that can function by itself as a noun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Re, Pre ,Dis, Auto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Is a distinct section of writing covering one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Describes a current event or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phrase that can be substituted for another word or phrase in a particular context</w:t>
            </w:r>
          </w:p>
        </w:tc>
      </w:tr>
    </w:tbl>
    <w:p>
      <w:pPr>
        <w:pStyle w:val="WordBankLarge"/>
      </w:pPr>
      <w:r>
        <w:t xml:space="preserve">   Noun    </w:t>
      </w:r>
      <w:r>
        <w:t xml:space="preserve">   Pronoun    </w:t>
      </w:r>
      <w:r>
        <w:t xml:space="preserve">   Conjunction    </w:t>
      </w:r>
      <w:r>
        <w:t xml:space="preserve">   Interjection    </w:t>
      </w:r>
      <w:r>
        <w:t xml:space="preserve">   Adjective    </w:t>
      </w:r>
      <w:r>
        <w:t xml:space="preserve">   Adverb    </w:t>
      </w:r>
      <w:r>
        <w:t xml:space="preserve">   Part of Speech    </w:t>
      </w:r>
      <w:r>
        <w:t xml:space="preserve">   Period    </w:t>
      </w:r>
      <w:r>
        <w:t xml:space="preserve">   Upper Case    </w:t>
      </w:r>
      <w:r>
        <w:t xml:space="preserve">   Vowel    </w:t>
      </w:r>
      <w:r>
        <w:t xml:space="preserve">   Lower Case    </w:t>
      </w:r>
      <w:r>
        <w:t xml:space="preserve">   Helping Verb    </w:t>
      </w:r>
      <w:r>
        <w:t xml:space="preserve">   Affix    </w:t>
      </w:r>
      <w:r>
        <w:t xml:space="preserve">   Antonyms    </w:t>
      </w:r>
      <w:r>
        <w:t xml:space="preserve">   Active Voice    </w:t>
      </w:r>
      <w:r>
        <w:t xml:space="preserve">   Complex Sentence    </w:t>
      </w:r>
      <w:r>
        <w:t xml:space="preserve">   Figure of Speech    </w:t>
      </w:r>
      <w:r>
        <w:t xml:space="preserve">   Homoyms    </w:t>
      </w:r>
      <w:r>
        <w:t xml:space="preserve">   Hyperbole    </w:t>
      </w:r>
      <w:r>
        <w:t xml:space="preserve">   Idiom    </w:t>
      </w:r>
      <w:r>
        <w:t xml:space="preserve">    Metaphor    </w:t>
      </w:r>
      <w:r>
        <w:t xml:space="preserve">   Paragraph    </w:t>
      </w:r>
      <w:r>
        <w:t xml:space="preserve">   Passive Voice    </w:t>
      </w:r>
      <w:r>
        <w:t xml:space="preserve">    Past Tense    </w:t>
      </w:r>
      <w:r>
        <w:t xml:space="preserve">    Personification    </w:t>
      </w:r>
      <w:r>
        <w:t xml:space="preserve">   Plural     </w:t>
      </w:r>
      <w:r>
        <w:t xml:space="preserve">   Prefix    </w:t>
      </w:r>
      <w:r>
        <w:t xml:space="preserve">   Root Word    </w:t>
      </w:r>
      <w:r>
        <w:t xml:space="preserve">   Suffix    </w:t>
      </w:r>
      <w:r>
        <w:t xml:space="preserve">    Third Person    </w:t>
      </w:r>
      <w:r>
        <w:t xml:space="preserve">    Synonyms    </w:t>
      </w:r>
      <w:r>
        <w:t xml:space="preserve">   Second Person    </w:t>
      </w:r>
      <w:r>
        <w:t xml:space="preserve">   First Person    </w:t>
      </w:r>
      <w:r>
        <w:t xml:space="preserve">   Figurative Language    </w:t>
      </w:r>
      <w:r>
        <w:t xml:space="preserve">    Present Tense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CROSSWORD</dc:title>
  <dcterms:created xsi:type="dcterms:W3CDTF">2021-10-11T06:04:56Z</dcterms:created>
  <dcterms:modified xsi:type="dcterms:W3CDTF">2021-10-11T06:04:56Z</dcterms:modified>
</cp:coreProperties>
</file>