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 non living thing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Gifford's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Gifford or Miller? Sunflowers, black, Starbucks,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independent + independent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independent + subjunctive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 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looks like a verb acts like an ADJECTIVE (ends in -ing if present, ends in -ed, -d, -t, -en, -n if past)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combines sentences using a comma and 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+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Gifford or Miller? Dr. Who, happy, sunflower,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of the sentence recieves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novel we read-- includes the following characters; John Wilkes Booth, Mary Surratt, David Herold...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 of the sentence does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a verb acts like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 exaggeration used for 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Gifford and Ms. Miller's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Ms. Miller's favorite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problem in a story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yellow    </w:t>
      </w:r>
      <w:r>
        <w:t xml:space="preserve">   personification    </w:t>
      </w:r>
      <w:r>
        <w:t xml:space="preserve">   ,FANBOYS    </w:t>
      </w:r>
      <w:r>
        <w:t xml:space="preserve">   Harry Styles    </w:t>
      </w:r>
      <w:r>
        <w:t xml:space="preserve">   hyperbole    </w:t>
      </w:r>
      <w:r>
        <w:t xml:space="preserve">   infinitive    </w:t>
      </w:r>
      <w:r>
        <w:t xml:space="preserve">   passive voice    </w:t>
      </w:r>
      <w:r>
        <w:t xml:space="preserve">   active voice    </w:t>
      </w:r>
      <w:r>
        <w:t xml:space="preserve">   gerund    </w:t>
      </w:r>
      <w:r>
        <w:t xml:space="preserve">   participle    </w:t>
      </w:r>
      <w:r>
        <w:t xml:space="preserve">   comma for and nor but or yet so    </w:t>
      </w:r>
      <w:r>
        <w:t xml:space="preserve">   compound    </w:t>
      </w:r>
      <w:r>
        <w:t xml:space="preserve">   complex    </w:t>
      </w:r>
      <w:r>
        <w:t xml:space="preserve">   The Three Musketeers    </w:t>
      </w:r>
      <w:r>
        <w:t xml:space="preserve">   conflict    </w:t>
      </w:r>
      <w:r>
        <w:t xml:space="preserve">   Gifford    </w:t>
      </w:r>
      <w:r>
        <w:t xml:space="preserve">   Miller    </w:t>
      </w:r>
      <w:r>
        <w:t xml:space="preserve">   Chasing Lincoln's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Review Crossword</dc:title>
  <dcterms:created xsi:type="dcterms:W3CDTF">2021-10-11T06:05:32Z</dcterms:created>
  <dcterms:modified xsi:type="dcterms:W3CDTF">2021-10-11T06:05:32Z</dcterms:modified>
</cp:coreProperties>
</file>