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and Middle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stagnation    </w:t>
      </w:r>
      <w:r>
        <w:t xml:space="preserve">   presbyopia    </w:t>
      </w:r>
      <w:r>
        <w:t xml:space="preserve">   presbycusis    </w:t>
      </w:r>
      <w:r>
        <w:t xml:space="preserve">   midlife transition    </w:t>
      </w:r>
      <w:r>
        <w:t xml:space="preserve">   midlife crisis    </w:t>
      </w:r>
      <w:r>
        <w:t xml:space="preserve">   isolation    </w:t>
      </w:r>
      <w:r>
        <w:t xml:space="preserve">   intimacy    </w:t>
      </w:r>
      <w:r>
        <w:t xml:space="preserve">   generativity    </w:t>
      </w:r>
      <w:r>
        <w:t xml:space="preserve">   emerging adulthood    </w:t>
      </w:r>
      <w:r>
        <w:t xml:space="preserve">   demographics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and Middle Adulthood</dc:title>
  <dcterms:created xsi:type="dcterms:W3CDTF">2021-10-11T05:46:58Z</dcterms:created>
  <dcterms:modified xsi:type="dcterms:W3CDTF">2021-10-11T05:46:58Z</dcterms:modified>
</cp:coreProperties>
</file>