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Purging    </w:t>
      </w:r>
      <w:r>
        <w:t xml:space="preserve">   Lifetime Prevalence    </w:t>
      </w:r>
      <w:r>
        <w:t xml:space="preserve">   Family Factors    </w:t>
      </w:r>
      <w:r>
        <w:t xml:space="preserve">   Stigma    </w:t>
      </w:r>
      <w:r>
        <w:t xml:space="preserve">   Compensatory Behaviors    </w:t>
      </w:r>
      <w:r>
        <w:t xml:space="preserve">   Binge Eating Disorder    </w:t>
      </w:r>
      <w:r>
        <w:t xml:space="preserve">   Bulimia Nervosa    </w:t>
      </w:r>
      <w:r>
        <w:t xml:space="preserve">   Anorexia Nervosa    </w:t>
      </w:r>
      <w:r>
        <w:t xml:space="preserve">   Weight    </w:t>
      </w:r>
      <w:r>
        <w:t xml:space="preserve">   Binge 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 </dc:title>
  <dcterms:created xsi:type="dcterms:W3CDTF">2021-10-11T05:54:24Z</dcterms:created>
  <dcterms:modified xsi:type="dcterms:W3CDTF">2021-10-11T05:54:24Z</dcterms:modified>
</cp:coreProperties>
</file>