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Review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 that spikes its prey - usually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Controlled indoor environment for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region or global community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have a large effect on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eat many types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 that returns to the river it was hatched in for egg-laying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how organisms interact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Organisms that 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Organisms that eat only one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grid that helps scientists count organisms in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Basis for all food chains and food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eat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Observing organisms in their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living things interacting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temperature, pH, climate, soil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Fungus causing large numbers of amphibian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organisms dealing with abiotic factors in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Produces carbohydrates using chemicals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"Feeding" step in a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that consume broken down organic materials</w:t>
            </w:r>
          </w:p>
        </w:tc>
      </w:tr>
    </w:tbl>
    <w:p>
      <w:pPr>
        <w:pStyle w:val="WordBankLarge"/>
      </w:pPr>
      <w:r>
        <w:t xml:space="preserve">   Keystone Species    </w:t>
      </w:r>
      <w:r>
        <w:t xml:space="preserve">   Chemosynthesis    </w:t>
      </w:r>
      <w:r>
        <w:t xml:space="preserve">   Abiotic Factors    </w:t>
      </w:r>
      <w:r>
        <w:t xml:space="preserve">   Biodiversity    </w:t>
      </w:r>
      <w:r>
        <w:t xml:space="preserve">   Heterotroph    </w:t>
      </w:r>
      <w:r>
        <w:t xml:space="preserve">   Autotroph    </w:t>
      </w:r>
      <w:r>
        <w:t xml:space="preserve">   Photosynthetic organisms    </w:t>
      </w:r>
      <w:r>
        <w:t xml:space="preserve">   Trophic Level    </w:t>
      </w:r>
      <w:r>
        <w:t xml:space="preserve">   Quadrat    </w:t>
      </w:r>
      <w:r>
        <w:t xml:space="preserve">   Anhinga    </w:t>
      </w:r>
      <w:r>
        <w:t xml:space="preserve">   Ecology    </w:t>
      </w:r>
      <w:r>
        <w:t xml:space="preserve">   Chytrid    </w:t>
      </w:r>
      <w:r>
        <w:t xml:space="preserve">   Biome    </w:t>
      </w:r>
      <w:r>
        <w:t xml:space="preserve">   Biological Community    </w:t>
      </w:r>
      <w:r>
        <w:t xml:space="preserve">   Ecosystems    </w:t>
      </w:r>
      <w:r>
        <w:t xml:space="preserve">   Marine Environments    </w:t>
      </w:r>
      <w:r>
        <w:t xml:space="preserve">   Lab    </w:t>
      </w:r>
      <w:r>
        <w:t xml:space="preserve">   Field Study    </w:t>
      </w:r>
      <w:r>
        <w:t xml:space="preserve">   Salmon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Detrivores    </w:t>
      </w:r>
      <w:r>
        <w:t xml:space="preserve">   Specialist    </w:t>
      </w:r>
      <w:r>
        <w:t xml:space="preserve">   Generalists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Review Part 1</dc:title>
  <dcterms:created xsi:type="dcterms:W3CDTF">2021-10-11T05:56:36Z</dcterms:created>
  <dcterms:modified xsi:type="dcterms:W3CDTF">2021-10-11T05:56:36Z</dcterms:modified>
</cp:coreProperties>
</file>