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Ecriture Numerique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capacité d'un objet à suggérer sa propre utilisation.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artefact + schème d’utilisation + les représentations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Site de vente n°1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Correspond à tout ce qui permet la communication entre l'homme et la machine.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sert" de "passerelle" entre plusieurs autres machines.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capacité d'un objet à suggérer sa propre utilisation.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consiste à passer d'une page à une autre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étude scientifique de la relation entre l'Homme et ses moyens, méthodes et milieux de travail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caractéristiques de l’activité physique de l’être humain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qui permet la communication entre plusieurs éléments d'un système numerique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dirigée vers l’artefact et ses evolutions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les nœuds contiennent du texte, du son, des images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celle qui correspond à la structure des pages, à la structure de navigation indiquant à l’utilisateur les actions possibles et leurs effets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Travail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moyen de communication, d'oeuvres, de documents, ou de messages sonores ou audiovisuels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Personne qui utilise l'informatique pour effectuer son travail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Geants americains du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l’un des plus importants portails web en Chine,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 capacité du système à se modifier en fonction des actions de l’utilisateur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surcharge d’information par rapport aux capacités limités de notre mémoire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constitué de blocs d'information, appelés nœuds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ergonomie des fonctionnalités et des organisation de ces fonctionnalités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relative au sujet lui-même et l'évolution de ses schèmes d’utilisation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Metier de l'ergonomie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Ergonomie sur l'aspects graphique et la typographie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possibilité de se deplacer  d’une information à l’autre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Geant Chinois du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celle qui capture les aspects relevant de la lisibilité, de la suggestivité ou des perturbations apportées par certains effets visuels.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Moteur de recherche n°1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suit la structure d'un site Web. Il permet aux gens de monter et descendre les différents points de la hiérarchie d'un site.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les nœuds contiennent du texte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support d’information entre un émetteur et une cible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Objet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logo en haut de chaque page lié a l'accueil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ensemble de pages web et de ressources reliées par des hyperliens, défini et accessible par une adresse web.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Association Française de Normalisation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methode permettant d'enregistrer les mouvements de l'oeil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conditionne l’efficacité  la qualité de l'experience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mécanismes de traitements de l’information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International Organization for Standardization</w:t>
            </w:r>
          </w:p>
        </w:tc>
      </w:tr>
    </w:tbl>
    <w:p>
      <w:pPr>
        <w:pStyle w:val="WordBankLarge"/>
      </w:pPr>
      <w:r>
        <w:t xml:space="preserve">   Interface    </w:t>
      </w:r>
      <w:r>
        <w:t xml:space="preserve">   média     </w:t>
      </w:r>
      <w:r>
        <w:t xml:space="preserve">   Affordance    </w:t>
      </w:r>
      <w:r>
        <w:t xml:space="preserve">   eye tracking     </w:t>
      </w:r>
      <w:r>
        <w:t xml:space="preserve">   IHM    </w:t>
      </w:r>
      <w:r>
        <w:t xml:space="preserve">   Navigation    </w:t>
      </w:r>
      <w:r>
        <w:t xml:space="preserve">   Utilisateur    </w:t>
      </w:r>
      <w:r>
        <w:t xml:space="preserve">   Ergos    </w:t>
      </w:r>
      <w:r>
        <w:t xml:space="preserve">   Ergonomie    </w:t>
      </w:r>
      <w:r>
        <w:t xml:space="preserve">   Nomos    </w:t>
      </w:r>
      <w:r>
        <w:t xml:space="preserve">   Média    </w:t>
      </w:r>
      <w:r>
        <w:t xml:space="preserve">   hyper document     </w:t>
      </w:r>
      <w:r>
        <w:t xml:space="preserve">   Hypertexte    </w:t>
      </w:r>
      <w:r>
        <w:t xml:space="preserve">   Hypermédia     </w:t>
      </w:r>
      <w:r>
        <w:t xml:space="preserve">   navigation    </w:t>
      </w:r>
      <w:r>
        <w:t xml:space="preserve">   interactivité    </w:t>
      </w:r>
      <w:r>
        <w:t xml:space="preserve">   interaction    </w:t>
      </w:r>
      <w:r>
        <w:t xml:space="preserve">   Surcharge cognitive     </w:t>
      </w:r>
      <w:r>
        <w:t xml:space="preserve">   structurelle    </w:t>
      </w:r>
      <w:r>
        <w:t xml:space="preserve">   physique     </w:t>
      </w:r>
      <w:r>
        <w:t xml:space="preserve">   cognitive     </w:t>
      </w:r>
      <w:r>
        <w:t xml:space="preserve">   Ergonomie de surface     </w:t>
      </w:r>
      <w:r>
        <w:t xml:space="preserve">   profonde     </w:t>
      </w:r>
      <w:r>
        <w:t xml:space="preserve">    distance opératoire     </w:t>
      </w:r>
      <w:r>
        <w:t xml:space="preserve">   articulatoire     </w:t>
      </w:r>
      <w:r>
        <w:t xml:space="preserve">   Artefact    </w:t>
      </w:r>
      <w:r>
        <w:t xml:space="preserve">   Instrument     </w:t>
      </w:r>
      <w:r>
        <w:t xml:space="preserve">   Instrumentalisation     </w:t>
      </w:r>
      <w:r>
        <w:t xml:space="preserve">   Instrumentation    </w:t>
      </w:r>
      <w:r>
        <w:t xml:space="preserve">   Affordance    </w:t>
      </w:r>
      <w:r>
        <w:t xml:space="preserve">   AFNOR    </w:t>
      </w:r>
      <w:r>
        <w:t xml:space="preserve">   ISO    </w:t>
      </w:r>
      <w:r>
        <w:t xml:space="preserve">   noeud    </w:t>
      </w:r>
      <w:r>
        <w:t xml:space="preserve">   Linked logo     </w:t>
      </w:r>
      <w:r>
        <w:t xml:space="preserve">   Google    </w:t>
      </w:r>
      <w:r>
        <w:t xml:space="preserve">   Amazon    </w:t>
      </w:r>
      <w:r>
        <w:t xml:space="preserve">   GAFAM    </w:t>
      </w:r>
      <w:r>
        <w:t xml:space="preserve">   BAIDU    </w:t>
      </w:r>
      <w:r>
        <w:t xml:space="preserve">   site    </w:t>
      </w:r>
      <w:r>
        <w:t xml:space="preserve">   Tencent    </w:t>
      </w:r>
      <w:r>
        <w:t xml:space="preserve">   Ergonome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Ecriture Numerique</dc:title>
  <dcterms:created xsi:type="dcterms:W3CDTF">2021-10-11T05:58:54Z</dcterms:created>
  <dcterms:modified xsi:type="dcterms:W3CDTF">2021-10-11T05:58:54Z</dcterms:modified>
</cp:coreProperties>
</file>