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potential    </w:t>
      </w:r>
      <w:r>
        <w:t xml:space="preserve">   direct    </w:t>
      </w:r>
      <w:r>
        <w:t xml:space="preserve">   resistance    </w:t>
      </w:r>
      <w:r>
        <w:t xml:space="preserve">   ohm    </w:t>
      </w:r>
      <w:r>
        <w:t xml:space="preserve">   battery    </w:t>
      </w:r>
      <w:r>
        <w:t xml:space="preserve">   DC    </w:t>
      </w:r>
      <w:r>
        <w:t xml:space="preserve">   AC    </w:t>
      </w:r>
      <w:r>
        <w:t xml:space="preserve">   conductor    </w:t>
      </w:r>
      <w:r>
        <w:t xml:space="preserve">   current    </w:t>
      </w:r>
      <w:r>
        <w:t xml:space="preserve">   induction    </w:t>
      </w:r>
      <w:r>
        <w:t xml:space="preserve">   static    </w:t>
      </w:r>
      <w:r>
        <w:t xml:space="preserve">   field    </w:t>
      </w:r>
      <w:r>
        <w:t xml:space="preserve">   force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2021-10-11T06:05:20Z</dcterms:created>
  <dcterms:modified xsi:type="dcterms:W3CDTF">2021-10-11T06:05:20Z</dcterms:modified>
</cp:coreProperties>
</file>