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Circles, triangles or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free-form, unpredictable and flowing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 and all the colors with blue and green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a primary and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a color with grey or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Colors that are made by mixing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not being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a color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object feels different than the texture 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lightness or darkness of tones 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object feels like the texture 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occupied by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Colors that can be created by any combination of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red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different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many tonal values (grays) between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Three-dimensional; length, width,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Two-dimensional, flat, or limited to height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Few tonal values (grays) between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reflected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or area around, between or within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the object feels, looks as if they might feel if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Mixture of a color and white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Color    </w:t>
      </w:r>
      <w:r>
        <w:t xml:space="preserve">   Primary Color    </w:t>
      </w:r>
      <w:r>
        <w:t xml:space="preserve">   Secondary Color    </w:t>
      </w:r>
      <w:r>
        <w:t xml:space="preserve">   Tertiary Color    </w:t>
      </w:r>
      <w:r>
        <w:t xml:space="preserve">   Tint    </w:t>
      </w:r>
      <w:r>
        <w:t xml:space="preserve">   Shade    </w:t>
      </w:r>
      <w:r>
        <w:t xml:space="preserve">   Tone    </w:t>
      </w:r>
      <w:r>
        <w:t xml:space="preserve">   Warm    </w:t>
      </w:r>
      <w:r>
        <w:t xml:space="preserve">   Cool    </w:t>
      </w:r>
      <w:r>
        <w:t xml:space="preserve">   Shape    </w:t>
      </w:r>
      <w:r>
        <w:t xml:space="preserve">   Geometric shape    </w:t>
      </w:r>
      <w:r>
        <w:t xml:space="preserve">   Organic shape    </w:t>
      </w:r>
      <w:r>
        <w:t xml:space="preserve">   Form    </w:t>
      </w:r>
      <w:r>
        <w:t xml:space="preserve">   Value    </w:t>
      </w:r>
      <w:r>
        <w:t xml:space="preserve">   High contrast    </w:t>
      </w:r>
      <w:r>
        <w:t xml:space="preserve">   Low contrast    </w:t>
      </w:r>
      <w:r>
        <w:t xml:space="preserve">   Texture    </w:t>
      </w:r>
      <w:r>
        <w:t xml:space="preserve">   Implied texture    </w:t>
      </w:r>
      <w:r>
        <w:t xml:space="preserve">   Actual texture    </w:t>
      </w:r>
      <w:r>
        <w:t xml:space="preserve">   Space    </w:t>
      </w:r>
      <w:r>
        <w:t xml:space="preserve">   Positive Space    </w:t>
      </w:r>
      <w:r>
        <w:t xml:space="preserve">   Negative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Puzzle</dc:title>
  <dcterms:created xsi:type="dcterms:W3CDTF">2021-10-11T06:07:46Z</dcterms:created>
  <dcterms:modified xsi:type="dcterms:W3CDTF">2021-10-11T06:07:46Z</dcterms:modified>
</cp:coreProperties>
</file>