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Savings    </w:t>
      </w:r>
      <w:r>
        <w:t xml:space="preserve">   Safety    </w:t>
      </w:r>
      <w:r>
        <w:t xml:space="preserve">   Efficient    </w:t>
      </w:r>
      <w:r>
        <w:t xml:space="preserve">   Hydropower    </w:t>
      </w:r>
      <w:r>
        <w:t xml:space="preserve">   Solar    </w:t>
      </w:r>
      <w:r>
        <w:t xml:space="preserve">   Wind    </w:t>
      </w:r>
      <w:r>
        <w:t xml:space="preserve">   Fossil    </w:t>
      </w:r>
      <w:r>
        <w:t xml:space="preserve">   NonRenewable    </w:t>
      </w:r>
      <w:r>
        <w:t xml:space="preserve">   Renewable    </w:t>
      </w:r>
      <w:r>
        <w:t xml:space="preserve">   Natural Gas    </w:t>
      </w:r>
      <w:r>
        <w:t xml:space="preserve">   Electricity    </w:t>
      </w:r>
      <w:r>
        <w:t xml:space="preserve">   Kinetic    </w:t>
      </w:r>
      <w:r>
        <w:t xml:space="preserve">   Potential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2021-10-11T06:17:39Z</dcterms:created>
  <dcterms:modified xsi:type="dcterms:W3CDTF">2021-10-11T06:17:39Z</dcterms:modified>
</cp:coreProperties>
</file>