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Engel v. Vitale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engel    </w:t>
      </w:r>
      <w:r>
        <w:t xml:space="preserve">   establishment clause    </w:t>
      </w:r>
      <w:r>
        <w:t xml:space="preserve">   first amendment    </w:t>
      </w:r>
      <w:r>
        <w:t xml:space="preserve">   freedom    </w:t>
      </w:r>
      <w:r>
        <w:t xml:space="preserve">   prayer    </w:t>
      </w:r>
      <w:r>
        <w:t xml:space="preserve">   public    </w:t>
      </w:r>
      <w:r>
        <w:t xml:space="preserve">   religion    </w:t>
      </w:r>
      <w:r>
        <w:t xml:space="preserve">   school    </w:t>
      </w:r>
      <w:r>
        <w:t xml:space="preserve">   secular    </w:t>
      </w:r>
      <w:r>
        <w:t xml:space="preserve">   vitale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 v. Vitale</dc:title>
  <dcterms:created xsi:type="dcterms:W3CDTF">2021-10-11T06:20:39Z</dcterms:created>
  <dcterms:modified xsi:type="dcterms:W3CDTF">2021-10-11T06:20:39Z</dcterms:modified>
</cp:coreProperties>
</file>