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England's Relations with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TENSE    </w:t>
      </w:r>
      <w:r>
        <w:t xml:space="preserve">   JAMES IV    </w:t>
      </w:r>
      <w:r>
        <w:t xml:space="preserve">   NEWCASTLE    </w:t>
      </w:r>
      <w:r>
        <w:t xml:space="preserve">   CORNWALL    </w:t>
      </w:r>
      <w:r>
        <w:t xml:space="preserve">   PERKIN WARBECK    </w:t>
      </w:r>
      <w:r>
        <w:t xml:space="preserve">   2 YEARS    </w:t>
      </w:r>
      <w:r>
        <w:t xml:space="preserve">   A TAXATION REBELLION    </w:t>
      </w:r>
      <w:r>
        <w:t xml:space="preserve">   AYTON    </w:t>
      </w:r>
      <w:r>
        <w:t xml:space="preserve">   MARGARET    </w:t>
      </w:r>
      <w:r>
        <w:t xml:space="preserve">   TREATY OF PERPETUAL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England's Relations with Scotland</dc:title>
  <dcterms:created xsi:type="dcterms:W3CDTF">2021-10-11T06:21:19Z</dcterms:created>
  <dcterms:modified xsi:type="dcterms:W3CDTF">2021-10-11T06:21:19Z</dcterms:modified>
</cp:coreProperties>
</file>