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Equality, Diversity and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beliefs    </w:t>
      </w:r>
      <w:r>
        <w:t xml:space="preserve">   diversity    </w:t>
      </w:r>
      <w:r>
        <w:t xml:space="preserve">   indirect    </w:t>
      </w:r>
      <w:r>
        <w:t xml:space="preserve">   direct    </w:t>
      </w:r>
      <w:r>
        <w:t xml:space="preserve">   discrimination    </w:t>
      </w:r>
      <w:r>
        <w:t xml:space="preserve">   individuals    </w:t>
      </w:r>
      <w:r>
        <w:t xml:space="preserve">   rights    </w:t>
      </w:r>
      <w:r>
        <w:t xml:space="preserve">   procedures    </w:t>
      </w:r>
      <w:r>
        <w:t xml:space="preserve">   policies    </w:t>
      </w:r>
      <w:r>
        <w:t xml:space="preserve">   legislation    </w:t>
      </w:r>
      <w:r>
        <w:t xml:space="preserve">   inclusion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Equality, Diversity and Rights</dc:title>
  <dcterms:created xsi:type="dcterms:W3CDTF">2021-10-11T06:27:12Z</dcterms:created>
  <dcterms:modified xsi:type="dcterms:W3CDTF">2021-10-11T06:27:12Z</dcterms:modified>
</cp:coreProperties>
</file>