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sala de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sacapuntas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materiales escolares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pizarrón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escritrio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escuela primaria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librería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notas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preparatoria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apuntes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pared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Chalkboard    </w:t>
      </w:r>
      <w:r>
        <w:t xml:space="preserve">   Erase    </w:t>
      </w:r>
      <w:r>
        <w:t xml:space="preserve">   Colors    </w:t>
      </w:r>
      <w:r>
        <w:t xml:space="preserve">   Door    </w:t>
      </w:r>
      <w:r>
        <w:t xml:space="preserve">   High school    </w:t>
      </w:r>
      <w:r>
        <w:t xml:space="preserve">   Chair    </w:t>
      </w:r>
      <w:r>
        <w:t xml:space="preserve">   Table    </w:t>
      </w:r>
      <w:r>
        <w:t xml:space="preserve">   Student Desk    </w:t>
      </w:r>
      <w:r>
        <w:t xml:space="preserve">   Office    </w:t>
      </w:r>
      <w:r>
        <w:t xml:space="preserve">   grade    </w:t>
      </w:r>
      <w:r>
        <w:t xml:space="preserve">   High school    </w:t>
      </w:r>
      <w:r>
        <w:t xml:space="preserve">   Glue    </w:t>
      </w:r>
      <w:r>
        <w:t xml:space="preserve">   school supplies    </w:t>
      </w:r>
      <w:r>
        <w:t xml:space="preserve">   clock    </w:t>
      </w:r>
      <w:r>
        <w:t xml:space="preserve">   desk    </w:t>
      </w:r>
      <w:r>
        <w:t xml:space="preserve">   map    </w:t>
      </w:r>
      <w:r>
        <w:t xml:space="preserve">   Bookstore    </w:t>
      </w:r>
      <w:r>
        <w:t xml:space="preserve">   Grades    </w:t>
      </w:r>
      <w:r>
        <w:t xml:space="preserve">   schedule    </w:t>
      </w:r>
      <w:r>
        <w:t xml:space="preserve">   Classroom    </w:t>
      </w:r>
      <w:r>
        <w:t xml:space="preserve">   wall    </w:t>
      </w:r>
      <w:r>
        <w:t xml:space="preserve">   library    </w:t>
      </w:r>
      <w:r>
        <w:t xml:space="preserve">   notes    </w:t>
      </w:r>
      <w:r>
        <w:t xml:space="preserve">   elementary school    </w:t>
      </w:r>
      <w:r>
        <w:t xml:space="preserve">   penical sharpener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En La Escuela</dc:title>
  <dcterms:created xsi:type="dcterms:W3CDTF">2021-10-11T06:30:09Z</dcterms:created>
  <dcterms:modified xsi:type="dcterms:W3CDTF">2021-10-11T06:30:09Z</dcterms:modified>
</cp:coreProperties>
</file>