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driver's license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turn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slow,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station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pass (car)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parking 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in the 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intersect,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coin </w:t>
            </w:r>
          </w:p>
        </w:tc>
      </w:tr>
    </w:tbl>
    <w:p>
      <w:pPr>
        <w:pStyle w:val="WordBankLarge"/>
      </w:pPr>
      <w:r>
        <w:t xml:space="preserve">   la carretera    </w:t>
      </w:r>
      <w:r>
        <w:t xml:space="preserve">   el sentido     </w:t>
      </w:r>
      <w:r>
        <w:t xml:space="preserve">   la salida    </w:t>
      </w:r>
      <w:r>
        <w:t xml:space="preserve">   el rotulo    </w:t>
      </w:r>
      <w:r>
        <w:t xml:space="preserve">   una linea continua     </w:t>
      </w:r>
      <w:r>
        <w:t xml:space="preserve">   quedarse en el carril    </w:t>
      </w:r>
      <w:r>
        <w:t xml:space="preserve">   doblar    </w:t>
      </w:r>
      <w:r>
        <w:t xml:space="preserve">   pasar    </w:t>
      </w:r>
      <w:r>
        <w:t xml:space="preserve">   el cruce     </w:t>
      </w:r>
      <w:r>
        <w:t xml:space="preserve">   la luz roja     </w:t>
      </w:r>
      <w:r>
        <w:t xml:space="preserve">   el parquimetro     </w:t>
      </w:r>
      <w:r>
        <w:t xml:space="preserve">   una moneda     </w:t>
      </w:r>
      <w:r>
        <w:t xml:space="preserve">   el tiquete    </w:t>
      </w:r>
      <w:r>
        <w:t xml:space="preserve">   despacio    </w:t>
      </w:r>
      <w:r>
        <w:t xml:space="preserve">   cruzar    </w:t>
      </w:r>
      <w:r>
        <w:t xml:space="preserve">   el coche    </w:t>
      </w:r>
      <w:r>
        <w:t xml:space="preserve">   el SUV    </w:t>
      </w:r>
      <w:r>
        <w:t xml:space="preserve">   el permiso de conducir     </w:t>
      </w:r>
      <w:r>
        <w:t xml:space="preserve">   la estacion de servicio     </w:t>
      </w:r>
      <w:r>
        <w:t xml:space="preserve">   el tanque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II</dc:title>
  <dcterms:created xsi:type="dcterms:W3CDTF">2021-10-11T06:31:12Z</dcterms:created>
  <dcterms:modified xsi:type="dcterms:W3CDTF">2021-10-11T06:31:12Z</dcterms:modified>
</cp:coreProperties>
</file>