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II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ferris 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means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traffic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downtown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</w:t>
            </w:r>
          </w:p>
        </w:tc>
      </w:tr>
    </w:tbl>
    <w:p>
      <w:pPr>
        <w:pStyle w:val="WordBankMedium"/>
      </w:pPr>
      <w:r>
        <w:t xml:space="preserve">   la ciudad    </w:t>
      </w:r>
      <w:r>
        <w:t xml:space="preserve">   la calle    </w:t>
      </w:r>
      <w:r>
        <w:t xml:space="preserve">   la esquina     </w:t>
      </w:r>
      <w:r>
        <w:t xml:space="preserve">   el centro     </w:t>
      </w:r>
      <w:r>
        <w:t xml:space="preserve">   la plaza    </w:t>
      </w:r>
      <w:r>
        <w:t xml:space="preserve">   el semaforo     </w:t>
      </w:r>
      <w:r>
        <w:t xml:space="preserve">   urbano     </w:t>
      </w:r>
      <w:r>
        <w:t xml:space="preserve">   el medio de transporte     </w:t>
      </w:r>
      <w:r>
        <w:t xml:space="preserve">   la escalera     </w:t>
      </w:r>
      <w:r>
        <w:t xml:space="preserve">   el autobus    </w:t>
      </w:r>
      <w:r>
        <w:t xml:space="preserve">   la noria     </w:t>
      </w:r>
      <w:r>
        <w:t xml:space="preserve">   el mimo     </w:t>
      </w:r>
      <w:r>
        <w:t xml:space="preserve">   el campo     </w:t>
      </w:r>
      <w:r>
        <w:t xml:space="preserve">   el heno     </w:t>
      </w:r>
      <w:r>
        <w:t xml:space="preserve">   la tierra    </w:t>
      </w:r>
      <w:r>
        <w:t xml:space="preserve">   el cerdo     </w:t>
      </w:r>
      <w:r>
        <w:t xml:space="preserve">   la vaca    </w:t>
      </w:r>
      <w:r>
        <w:t xml:space="preserve">   sembrar    </w:t>
      </w:r>
      <w:r>
        <w:t xml:space="preserve">   el trigo     </w:t>
      </w:r>
      <w:r>
        <w:t xml:space="preserve">   la hierba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II Vocabulario</dc:title>
  <dcterms:created xsi:type="dcterms:W3CDTF">2021-10-11T06:31:06Z</dcterms:created>
  <dcterms:modified xsi:type="dcterms:W3CDTF">2021-10-11T06:31:06Z</dcterms:modified>
</cp:coreProperties>
</file>