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Ethical Practices in Business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Money Laundering    </w:t>
      </w:r>
      <w:r>
        <w:t xml:space="preserve">   Forgery    </w:t>
      </w:r>
      <w:r>
        <w:t xml:space="preserve">   Mail and Wire Fruad    </w:t>
      </w:r>
      <w:r>
        <w:t xml:space="preserve">   Insurance Fruad    </w:t>
      </w:r>
      <w:r>
        <w:t xml:space="preserve">   Misappropriation of Funds    </w:t>
      </w:r>
      <w:r>
        <w:t xml:space="preserve">   Confidentiality    </w:t>
      </w:r>
      <w:r>
        <w:t xml:space="preserve">   Investment Management    </w:t>
      </w:r>
      <w:r>
        <w:t xml:space="preserve">   Insider Trading    </w:t>
      </w:r>
      <w:r>
        <w:t xml:space="preserve">   Code of Ethics    </w:t>
      </w:r>
      <w:r>
        <w:t xml:space="preserve">   Business Ethics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Practices in Business Finance</dc:title>
  <dcterms:created xsi:type="dcterms:W3CDTF">2021-10-11T06:31:25Z</dcterms:created>
  <dcterms:modified xsi:type="dcterms:W3CDTF">2021-10-11T06:31:25Z</dcterms:modified>
</cp:coreProperties>
</file>